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DD9004" w14:textId="77777777" w:rsidR="004E21B1" w:rsidRDefault="004E21B1">
      <w:pPr>
        <w:jc w:val="both"/>
        <w:rPr>
          <w:rFonts w:ascii="Tahoma" w:eastAsia="Tahoma" w:hAnsi="Tahoma" w:cs="Tahoma"/>
          <w:b/>
          <w:color w:val="9CC3E5"/>
          <w:sz w:val="24"/>
          <w:szCs w:val="24"/>
        </w:rPr>
      </w:pPr>
    </w:p>
    <w:p w14:paraId="3DEAB25C" w14:textId="77777777" w:rsidR="004E21B1" w:rsidRPr="00333764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2F5496"/>
          <w:sz w:val="24"/>
          <w:szCs w:val="24"/>
          <w:lang w:val="fr-FR"/>
        </w:rPr>
        <w:t>Les premiers symptômes de la maladie de Parkinson sont causés par.. :</w:t>
      </w:r>
    </w:p>
    <w:p w14:paraId="6FC94325" w14:textId="77777777" w:rsidR="004E21B1" w:rsidRPr="00333764" w:rsidRDefault="004E21B1">
      <w:pPr>
        <w:spacing w:after="0" w:line="240" w:lineRule="auto"/>
        <w:rPr>
          <w:rFonts w:ascii="Tahoma" w:eastAsia="Tahoma" w:hAnsi="Tahoma" w:cs="Tahoma"/>
          <w:b/>
          <w:color w:val="2F5496"/>
          <w:sz w:val="24"/>
          <w:szCs w:val="24"/>
          <w:lang w:val="fr-FR"/>
        </w:rPr>
      </w:pPr>
    </w:p>
    <w:p w14:paraId="1721C679" w14:textId="77777777" w:rsidR="004E21B1" w:rsidRPr="0033376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40" w:after="0" w:line="240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présence de niveaux élevés de potassium dans le sang.</w:t>
      </w:r>
    </w:p>
    <w:p w14:paraId="05C7D652" w14:textId="77777777" w:rsidR="004E21B1" w:rsidRPr="0033376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FF0000"/>
          <w:sz w:val="24"/>
          <w:szCs w:val="24"/>
          <w:lang w:val="fr-FR"/>
        </w:rPr>
        <w:t>disparition des cellules nerveuses qui synthétisent la dopamine.</w:t>
      </w:r>
    </w:p>
    <w:p w14:paraId="5E75AA68" w14:textId="77777777" w:rsidR="004E21B1" w:rsidRPr="0033376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Incapacité à produire de la mélatonine.</w:t>
      </w:r>
    </w:p>
    <w:p w14:paraId="63172E79" w14:textId="77777777" w:rsidR="004E21B1" w:rsidRPr="00333764" w:rsidRDefault="004E21B1">
      <w:pPr>
        <w:spacing w:after="0" w:line="240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0B5EB7DE" w14:textId="77777777" w:rsidR="004E21B1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color w:val="2F5496"/>
          <w:sz w:val="24"/>
          <w:szCs w:val="24"/>
        </w:rPr>
        <w:t xml:space="preserve">Le </w:t>
      </w:r>
      <w:proofErr w:type="spellStart"/>
      <w:r>
        <w:rPr>
          <w:rFonts w:ascii="Tahoma" w:eastAsia="Tahoma" w:hAnsi="Tahoma" w:cs="Tahoma"/>
          <w:color w:val="2F5496"/>
          <w:sz w:val="24"/>
          <w:szCs w:val="24"/>
        </w:rPr>
        <w:t>médicament</w:t>
      </w:r>
      <w:proofErr w:type="spellEnd"/>
      <w:r>
        <w:rPr>
          <w:rFonts w:ascii="Tahoma" w:eastAsia="Tahoma" w:hAnsi="Tahoma" w:cs="Tahoma"/>
          <w:color w:val="2F5496"/>
          <w:sz w:val="24"/>
          <w:szCs w:val="24"/>
        </w:rPr>
        <w:t xml:space="preserve"> </w:t>
      </w:r>
      <w:proofErr w:type="gramStart"/>
      <w:r>
        <w:rPr>
          <w:rFonts w:ascii="Tahoma" w:eastAsia="Tahoma" w:hAnsi="Tahoma" w:cs="Tahoma"/>
          <w:color w:val="2F5496"/>
          <w:sz w:val="24"/>
          <w:szCs w:val="24"/>
        </w:rPr>
        <w:t>Levodopa :</w:t>
      </w:r>
      <w:proofErr w:type="gramEnd"/>
    </w:p>
    <w:p w14:paraId="4BC0864E" w14:textId="77777777" w:rsidR="004E21B1" w:rsidRDefault="004E21B1">
      <w:pPr>
        <w:spacing w:after="0" w:line="240" w:lineRule="auto"/>
        <w:rPr>
          <w:rFonts w:ascii="Tahoma" w:eastAsia="Tahoma" w:hAnsi="Tahoma" w:cs="Tahoma"/>
          <w:b/>
          <w:color w:val="2F5496"/>
          <w:sz w:val="24"/>
          <w:szCs w:val="24"/>
        </w:rPr>
      </w:pPr>
    </w:p>
    <w:p w14:paraId="33ED4331" w14:textId="77777777" w:rsidR="004E21B1" w:rsidRPr="0033376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Il s'agit d'un médicament anticholinergique.</w:t>
      </w:r>
    </w:p>
    <w:p w14:paraId="30377503" w14:textId="77777777" w:rsidR="004E21B1" w:rsidRPr="0033376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Il a été initialement mis au point pour soigner la grippe.</w:t>
      </w:r>
    </w:p>
    <w:p w14:paraId="5A90AF22" w14:textId="77777777" w:rsidR="004E21B1" w:rsidRPr="0033376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FF0000"/>
          <w:sz w:val="24"/>
          <w:szCs w:val="24"/>
          <w:lang w:val="fr-FR"/>
        </w:rPr>
        <w:t>C'est le traitement le plus efficace pour réduire la bradykinésie et la rigidité.</w:t>
      </w:r>
    </w:p>
    <w:p w14:paraId="7B9B8A48" w14:textId="77777777" w:rsidR="004E21B1" w:rsidRPr="00333764" w:rsidRDefault="004E21B1">
      <w:pPr>
        <w:spacing w:after="0" w:line="240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1914F1AE" w14:textId="77777777" w:rsidR="004E21B1" w:rsidRPr="00333764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2F5496"/>
          <w:sz w:val="24"/>
          <w:szCs w:val="24"/>
          <w:lang w:val="fr-FR"/>
        </w:rPr>
        <w:t>La technique de la stimulation cérébrale profonde :</w:t>
      </w:r>
    </w:p>
    <w:p w14:paraId="53886E10" w14:textId="77777777" w:rsidR="004E21B1" w:rsidRPr="00333764" w:rsidRDefault="004E21B1">
      <w:pPr>
        <w:spacing w:after="0" w:line="240" w:lineRule="auto"/>
        <w:rPr>
          <w:rFonts w:ascii="Tahoma" w:eastAsia="Tahoma" w:hAnsi="Tahoma" w:cs="Tahoma"/>
          <w:b/>
          <w:color w:val="2F5496"/>
          <w:sz w:val="24"/>
          <w:szCs w:val="24"/>
          <w:lang w:val="fr-FR"/>
        </w:rPr>
      </w:pPr>
    </w:p>
    <w:p w14:paraId="33F32B16" w14:textId="77777777" w:rsidR="004E21B1" w:rsidRPr="00333764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Arrêter la progression de la maladie.</w:t>
      </w:r>
    </w:p>
    <w:p w14:paraId="12C8CB94" w14:textId="77777777" w:rsidR="004E21B1" w:rsidRPr="00333764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FF0000"/>
          <w:sz w:val="24"/>
          <w:szCs w:val="24"/>
          <w:lang w:val="fr-FR"/>
        </w:rPr>
        <w:t>Il s'agit d'implanter des électrodes dans le noyau subthalamique (STN) ou le globus pallidus internus (GPi).</w:t>
      </w:r>
    </w:p>
    <w:p w14:paraId="3C36A569" w14:textId="77777777" w:rsidR="004E21B1" w:rsidRPr="00333764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Il s'agit d'une stimulation par ultrasons.</w:t>
      </w:r>
    </w:p>
    <w:p w14:paraId="17749346" w14:textId="77777777" w:rsidR="004E21B1" w:rsidRPr="00333764" w:rsidRDefault="004E21B1">
      <w:pPr>
        <w:rPr>
          <w:rFonts w:ascii="Tahoma" w:eastAsia="Tahoma" w:hAnsi="Tahoma" w:cs="Tahoma"/>
          <w:color w:val="2F5496"/>
          <w:sz w:val="24"/>
          <w:szCs w:val="24"/>
          <w:lang w:val="fr-FR"/>
        </w:rPr>
      </w:pPr>
    </w:p>
    <w:p w14:paraId="6E42AE02" w14:textId="77777777" w:rsidR="004E21B1" w:rsidRPr="00333764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2F5496"/>
          <w:sz w:val="24"/>
          <w:szCs w:val="24"/>
          <w:lang w:val="fr-FR"/>
        </w:rPr>
        <w:t>Parmi les techniques de traitement physiothérapeutique suivantes utilisées dans la maladie de Parkinson, laquelle n'appartient pas à cette discipline ?</w:t>
      </w:r>
    </w:p>
    <w:p w14:paraId="0F1A6ACE" w14:textId="77777777" w:rsidR="004E21B1" w:rsidRPr="00333764" w:rsidRDefault="004E21B1">
      <w:pPr>
        <w:spacing w:after="0"/>
        <w:rPr>
          <w:rFonts w:ascii="Tahoma" w:eastAsia="Tahoma" w:hAnsi="Tahoma" w:cs="Tahoma"/>
          <w:b/>
          <w:color w:val="2F5496"/>
          <w:sz w:val="24"/>
          <w:szCs w:val="24"/>
          <w:lang w:val="fr-FR"/>
        </w:rPr>
      </w:pPr>
    </w:p>
    <w:p w14:paraId="03801FDB" w14:textId="77777777" w:rsidR="004E21B1" w:rsidRPr="00333764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Exercices de coordination manuelle, bimanuelle et </w:t>
      </w:r>
      <w:r w:rsidRPr="00333764">
        <w:rPr>
          <w:rFonts w:ascii="Tahoma" w:eastAsia="Tahoma" w:hAnsi="Tahoma" w:cs="Tahoma"/>
          <w:sz w:val="24"/>
          <w:szCs w:val="24"/>
          <w:lang w:val="fr-FR"/>
        </w:rPr>
        <w:t>oculo-manuelle</w:t>
      </w: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, statiques et dynamiques, avec le concept de double tâche et des exercices de motricité fine. </w:t>
      </w:r>
    </w:p>
    <w:p w14:paraId="6552BED1" w14:textId="77777777" w:rsidR="004E21B1" w:rsidRPr="00333764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Exercices d'équilibre statique et dynamique, travail sur des surfaces instables et exercices proprioceptifs.</w:t>
      </w:r>
    </w:p>
    <w:p w14:paraId="326F42D9" w14:textId="77777777" w:rsidR="004E21B1" w:rsidRPr="00333764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FF0000"/>
          <w:sz w:val="24"/>
          <w:szCs w:val="24"/>
          <w:lang w:val="fr-FR"/>
        </w:rPr>
        <w:t>Exercices d'équilibre des muscles faciaux.</w:t>
      </w:r>
    </w:p>
    <w:p w14:paraId="71646063" w14:textId="77777777" w:rsidR="004E21B1" w:rsidRPr="00333764" w:rsidRDefault="004E21B1">
      <w:pP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32D2A2D6" w14:textId="77777777" w:rsidR="004E21B1" w:rsidRPr="00333764" w:rsidRDefault="004E21B1">
      <w:pP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55BDC2BC" w14:textId="77777777" w:rsidR="004E21B1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sz w:val="24"/>
          <w:szCs w:val="24"/>
        </w:rPr>
      </w:pPr>
      <w:proofErr w:type="spellStart"/>
      <w:r>
        <w:rPr>
          <w:rFonts w:ascii="Tahoma" w:eastAsia="Tahoma" w:hAnsi="Tahoma" w:cs="Tahoma"/>
          <w:color w:val="2F5496"/>
          <w:sz w:val="24"/>
          <w:szCs w:val="24"/>
        </w:rPr>
        <w:t>Qu'est-ce</w:t>
      </w:r>
      <w:proofErr w:type="spellEnd"/>
      <w:r>
        <w:rPr>
          <w:rFonts w:ascii="Tahoma" w:eastAsia="Tahoma" w:hAnsi="Tahoma" w:cs="Tahoma"/>
          <w:color w:val="2F5496"/>
          <w:sz w:val="24"/>
          <w:szCs w:val="24"/>
        </w:rPr>
        <w:t xml:space="preserve"> que </w:t>
      </w:r>
      <w:proofErr w:type="spellStart"/>
      <w:proofErr w:type="gramStart"/>
      <w:r>
        <w:rPr>
          <w:rFonts w:ascii="Tahoma" w:eastAsia="Tahoma" w:hAnsi="Tahoma" w:cs="Tahoma"/>
          <w:color w:val="2F5496"/>
          <w:sz w:val="24"/>
          <w:szCs w:val="24"/>
        </w:rPr>
        <w:t>l'ergothérapie</w:t>
      </w:r>
      <w:proofErr w:type="spellEnd"/>
      <w:r>
        <w:rPr>
          <w:rFonts w:ascii="Tahoma" w:eastAsia="Tahoma" w:hAnsi="Tahoma" w:cs="Tahoma"/>
          <w:color w:val="2F5496"/>
          <w:sz w:val="24"/>
          <w:szCs w:val="24"/>
        </w:rPr>
        <w:t xml:space="preserve"> ?</w:t>
      </w:r>
      <w:proofErr w:type="gramEnd"/>
    </w:p>
    <w:p w14:paraId="6BE47BB6" w14:textId="77777777" w:rsidR="004E21B1" w:rsidRDefault="004E21B1">
      <w:pPr>
        <w:spacing w:after="0"/>
        <w:rPr>
          <w:rFonts w:ascii="Tahoma" w:eastAsia="Tahoma" w:hAnsi="Tahoma" w:cs="Tahoma"/>
          <w:b/>
          <w:color w:val="2F5496"/>
          <w:sz w:val="24"/>
          <w:szCs w:val="24"/>
        </w:rPr>
      </w:pPr>
    </w:p>
    <w:p w14:paraId="376AF805" w14:textId="77777777" w:rsidR="004E21B1" w:rsidRPr="00333764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Une thérapie visant à aider les patients à trouver un emploi.</w:t>
      </w:r>
    </w:p>
    <w:p w14:paraId="1DB997E2" w14:textId="77777777" w:rsidR="004E21B1" w:rsidRPr="00333764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FF0000"/>
          <w:sz w:val="24"/>
          <w:szCs w:val="24"/>
          <w:lang w:val="fr-FR"/>
        </w:rPr>
        <w:t>Une thérapie visant à améliorer la capacité de l'individu à effectuer les activités de la vie quotidienne (AVQ) et à maintenir son indépendance fonctionnelle.</w:t>
      </w:r>
    </w:p>
    <w:p w14:paraId="74047830" w14:textId="77777777" w:rsidR="004E21B1" w:rsidRPr="00333764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Une thérapie qui aide les soignants à faire face au stress émotionnel lié à leur travail.</w:t>
      </w:r>
    </w:p>
    <w:p w14:paraId="6A83C764" w14:textId="77777777" w:rsidR="004E21B1" w:rsidRPr="00333764" w:rsidRDefault="004E21B1">
      <w:pP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5C852E34" w14:textId="77777777" w:rsidR="004E21B1" w:rsidRPr="00333764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2F5496"/>
          <w:sz w:val="24"/>
          <w:szCs w:val="24"/>
          <w:lang w:val="fr-FR"/>
        </w:rPr>
        <w:t>Les objectifs de l'orthophonie sont les suivants</w:t>
      </w:r>
    </w:p>
    <w:p w14:paraId="7C4A69C9" w14:textId="77777777" w:rsidR="004E21B1" w:rsidRPr="00333764" w:rsidRDefault="004E21B1">
      <w:pPr>
        <w:spacing w:after="0"/>
        <w:rPr>
          <w:rFonts w:ascii="Tahoma" w:eastAsia="Tahoma" w:hAnsi="Tahoma" w:cs="Tahoma"/>
          <w:b/>
          <w:color w:val="2F5496"/>
          <w:sz w:val="24"/>
          <w:szCs w:val="24"/>
          <w:lang w:val="fr-FR"/>
        </w:rPr>
      </w:pPr>
    </w:p>
    <w:p w14:paraId="4DC94F9C" w14:textId="77777777" w:rsidR="004E21B1" w:rsidRPr="00333764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Prévention et maintien de la communication orale.</w:t>
      </w:r>
    </w:p>
    <w:p w14:paraId="3EFFFCCC" w14:textId="77777777" w:rsidR="004E21B1" w:rsidRPr="00333764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Pour une déglutition sûre et efficace.</w:t>
      </w:r>
    </w:p>
    <w:p w14:paraId="7D91F1E0" w14:textId="77777777" w:rsidR="004E21B1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FF0000"/>
          <w:sz w:val="24"/>
          <w:szCs w:val="24"/>
        </w:rPr>
      </w:pPr>
      <w:r>
        <w:rPr>
          <w:rFonts w:ascii="Tahoma" w:eastAsia="Tahoma" w:hAnsi="Tahoma" w:cs="Tahoma"/>
          <w:color w:val="FF0000"/>
          <w:sz w:val="24"/>
          <w:szCs w:val="24"/>
        </w:rPr>
        <w:t xml:space="preserve">Les deux </w:t>
      </w:r>
      <w:proofErr w:type="spellStart"/>
      <w:r>
        <w:rPr>
          <w:rFonts w:ascii="Tahoma" w:eastAsia="Tahoma" w:hAnsi="Tahoma" w:cs="Tahoma"/>
          <w:color w:val="FF0000"/>
          <w:sz w:val="24"/>
          <w:szCs w:val="24"/>
        </w:rPr>
        <w:t>sont</w:t>
      </w:r>
      <w:proofErr w:type="spellEnd"/>
      <w:r>
        <w:rPr>
          <w:rFonts w:ascii="Tahoma" w:eastAsia="Tahoma" w:hAnsi="Tahoma" w:cs="Tahoma"/>
          <w:color w:val="FF0000"/>
          <w:sz w:val="24"/>
          <w:szCs w:val="24"/>
        </w:rPr>
        <w:t xml:space="preserve"> corrects.</w:t>
      </w:r>
    </w:p>
    <w:p w14:paraId="62F9216C" w14:textId="77777777" w:rsidR="004E21B1" w:rsidRDefault="004E21B1">
      <w:pPr>
        <w:spacing w:after="0"/>
        <w:rPr>
          <w:rFonts w:ascii="Tahoma" w:eastAsia="Tahoma" w:hAnsi="Tahoma" w:cs="Tahoma"/>
          <w:b/>
          <w:color w:val="2F5496"/>
          <w:sz w:val="24"/>
          <w:szCs w:val="24"/>
        </w:rPr>
      </w:pPr>
    </w:p>
    <w:p w14:paraId="0A84209A" w14:textId="77777777" w:rsidR="004E21B1" w:rsidRDefault="004E21B1">
      <w:pPr>
        <w:spacing w:after="0"/>
        <w:rPr>
          <w:rFonts w:ascii="Tahoma" w:eastAsia="Tahoma" w:hAnsi="Tahoma" w:cs="Tahoma"/>
          <w:color w:val="FF0000"/>
          <w:sz w:val="24"/>
          <w:szCs w:val="24"/>
        </w:rPr>
      </w:pPr>
    </w:p>
    <w:p w14:paraId="09E36ACC" w14:textId="77777777" w:rsidR="004E21B1" w:rsidRPr="00333764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2F5496"/>
          <w:sz w:val="24"/>
          <w:szCs w:val="24"/>
          <w:lang w:val="fr-FR"/>
        </w:rPr>
        <w:t>En ce qui concerne les approches psychocorporelles susceptibles d'atténuer les symptômes de la maladie de Parkinson, quelle est la mauvaise réponse ?</w:t>
      </w:r>
    </w:p>
    <w:p w14:paraId="7484C615" w14:textId="77777777" w:rsidR="004E21B1" w:rsidRPr="00333764" w:rsidRDefault="004E21B1">
      <w:pPr>
        <w:spacing w:after="0"/>
        <w:rPr>
          <w:rFonts w:ascii="Tahoma" w:eastAsia="Tahoma" w:hAnsi="Tahoma" w:cs="Tahoma"/>
          <w:b/>
          <w:color w:val="2F5496"/>
          <w:sz w:val="24"/>
          <w:szCs w:val="24"/>
          <w:lang w:val="fr-FR"/>
        </w:rPr>
      </w:pPr>
    </w:p>
    <w:p w14:paraId="24B019C1" w14:textId="77777777" w:rsidR="004E21B1" w:rsidRPr="0033376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Ils peuvent contribuer à améliorer l'équilibre, la souplesse et le bien-être général.</w:t>
      </w:r>
    </w:p>
    <w:p w14:paraId="12D8B9FD" w14:textId="77777777" w:rsidR="004E21B1" w:rsidRPr="0033376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Ils combinent le mouvement, la respiration profonde et la pleine conscience. </w:t>
      </w:r>
    </w:p>
    <w:p w14:paraId="1F63CD38" w14:textId="77777777" w:rsidR="004E21B1" w:rsidRPr="0033376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Ils ne seraient pas indiqués chez les patients souffrant d'anxiété et de dépression. </w:t>
      </w:r>
    </w:p>
    <w:p w14:paraId="52C49A8F" w14:textId="77777777" w:rsidR="004E21B1" w:rsidRPr="00333764" w:rsidRDefault="004E21B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5B6A4926" w14:textId="77777777" w:rsidR="004E21B1" w:rsidRPr="00333764" w:rsidRDefault="004E21B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0" w:after="0" w:line="289" w:lineRule="auto"/>
        <w:ind w:left="643" w:right="429"/>
        <w:jc w:val="both"/>
        <w:rPr>
          <w:rFonts w:ascii="Tahoma" w:eastAsia="Tahoma" w:hAnsi="Tahoma" w:cs="Tahoma"/>
          <w:color w:val="2F5496"/>
          <w:sz w:val="24"/>
          <w:szCs w:val="24"/>
          <w:lang w:val="fr-FR"/>
        </w:rPr>
      </w:pPr>
    </w:p>
    <w:p w14:paraId="1785118C" w14:textId="77777777" w:rsidR="004E21B1" w:rsidRPr="00333764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2F5496"/>
          <w:sz w:val="24"/>
          <w:szCs w:val="24"/>
          <w:lang w:val="fr-FR"/>
        </w:rPr>
        <w:t>Cochez la bonne réponse : En termes de types d'intervention sociale, les éléments qui motivent l'intervention sont les suivants :</w:t>
      </w:r>
    </w:p>
    <w:p w14:paraId="66FEDA0F" w14:textId="77777777" w:rsidR="004E21B1" w:rsidRPr="00333764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10" w:after="0" w:line="289" w:lineRule="auto"/>
        <w:ind w:right="429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000000"/>
          <w:sz w:val="24"/>
          <w:szCs w:val="24"/>
          <w:lang w:val="fr-FR"/>
        </w:rPr>
        <w:t>Le manque de soutien et les caractéristiques spécifiques de l'individu.</w:t>
      </w:r>
    </w:p>
    <w:p w14:paraId="5A00661C" w14:textId="77777777" w:rsidR="004E21B1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10" w:after="0" w:line="289" w:lineRule="auto"/>
        <w:ind w:right="429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Manque de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ressources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adaptées</w:t>
      </w:r>
      <w:proofErr w:type="spellEnd"/>
    </w:p>
    <w:p w14:paraId="5C5A3941" w14:textId="77777777" w:rsidR="004E21B1" w:rsidRPr="00333764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10" w:after="0" w:line="289" w:lineRule="auto"/>
        <w:ind w:right="429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333764">
        <w:rPr>
          <w:rFonts w:ascii="Tahoma" w:eastAsia="Tahoma" w:hAnsi="Tahoma" w:cs="Tahoma"/>
          <w:color w:val="FF0000"/>
          <w:sz w:val="24"/>
          <w:szCs w:val="24"/>
          <w:lang w:val="fr-FR"/>
        </w:rPr>
        <w:t>Le manque de soutien, le manque de ressources adaptées et spécialisées et les caractéristiques de l'individu et de sa famille.</w:t>
      </w:r>
    </w:p>
    <w:p w14:paraId="0C5360D6" w14:textId="77777777" w:rsidR="004E21B1" w:rsidRPr="00333764" w:rsidRDefault="004E21B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10" w:after="0" w:line="289" w:lineRule="auto"/>
        <w:ind w:left="1440" w:right="429"/>
        <w:jc w:val="both"/>
        <w:rPr>
          <w:rFonts w:ascii="Century Gothic" w:eastAsia="Century Gothic" w:hAnsi="Century Gothic" w:cs="Century Gothic"/>
          <w:color w:val="000000"/>
          <w:lang w:val="fr-FR"/>
        </w:rPr>
      </w:pPr>
    </w:p>
    <w:p w14:paraId="75B6ACA2" w14:textId="77777777" w:rsidR="004E21B1" w:rsidRPr="00333764" w:rsidRDefault="004E21B1">
      <w:pPr>
        <w:pBdr>
          <w:top w:val="nil"/>
          <w:left w:val="nil"/>
          <w:bottom w:val="nil"/>
          <w:right w:val="nil"/>
          <w:between w:val="nil"/>
        </w:pBdr>
        <w:ind w:left="1363"/>
        <w:jc w:val="both"/>
        <w:rPr>
          <w:color w:val="000000"/>
          <w:sz w:val="24"/>
          <w:szCs w:val="24"/>
          <w:lang w:val="fr-FR"/>
        </w:rPr>
      </w:pPr>
    </w:p>
    <w:p w14:paraId="7C09BA36" w14:textId="77777777" w:rsidR="004E21B1" w:rsidRPr="00333764" w:rsidRDefault="004E21B1">
      <w:pPr>
        <w:rPr>
          <w:rFonts w:ascii="Century Gothic" w:eastAsia="Century Gothic" w:hAnsi="Century Gothic" w:cs="Century Gothic"/>
          <w:color w:val="FF0000"/>
          <w:lang w:val="fr-FR"/>
        </w:rPr>
      </w:pPr>
    </w:p>
    <w:p w14:paraId="1C399118" w14:textId="77777777" w:rsidR="004E21B1" w:rsidRPr="00333764" w:rsidRDefault="004E21B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Century Gothic" w:eastAsia="Century Gothic" w:hAnsi="Century Gothic" w:cs="Century Gothic"/>
          <w:b/>
          <w:color w:val="2F5496"/>
          <w:lang w:val="fr-FR"/>
        </w:rPr>
      </w:pPr>
    </w:p>
    <w:p w14:paraId="678019B6" w14:textId="77777777" w:rsidR="004E21B1" w:rsidRPr="00333764" w:rsidRDefault="004E21B1">
      <w:pPr>
        <w:spacing w:after="0"/>
        <w:jc w:val="both"/>
        <w:rPr>
          <w:rFonts w:ascii="Century Gothic" w:eastAsia="Century Gothic" w:hAnsi="Century Gothic" w:cs="Century Gothic"/>
          <w:color w:val="000000"/>
          <w:sz w:val="20"/>
          <w:szCs w:val="20"/>
          <w:lang w:val="fr-FR"/>
        </w:rPr>
      </w:pPr>
    </w:p>
    <w:p w14:paraId="38674CB6" w14:textId="77777777" w:rsidR="004E21B1" w:rsidRPr="00333764" w:rsidRDefault="004E21B1">
      <w:pPr>
        <w:spacing w:after="0"/>
        <w:ind w:left="708"/>
        <w:jc w:val="both"/>
        <w:rPr>
          <w:rFonts w:ascii="Century Gothic" w:eastAsia="Century Gothic" w:hAnsi="Century Gothic" w:cs="Century Gothic"/>
          <w:b/>
          <w:color w:val="2F5496"/>
          <w:lang w:val="fr-FR"/>
        </w:rPr>
      </w:pPr>
    </w:p>
    <w:p w14:paraId="6DF6A3AD" w14:textId="77777777" w:rsidR="004E21B1" w:rsidRPr="00333764" w:rsidRDefault="004E21B1">
      <w:pPr>
        <w:spacing w:before="240" w:after="0"/>
        <w:jc w:val="both"/>
        <w:rPr>
          <w:rFonts w:ascii="Century Gothic" w:eastAsia="Century Gothic" w:hAnsi="Century Gothic" w:cs="Century Gothic"/>
          <w:color w:val="000000"/>
          <w:lang w:val="fr-FR"/>
        </w:rPr>
      </w:pPr>
    </w:p>
    <w:sectPr w:rsidR="004E21B1" w:rsidRPr="00333764">
      <w:headerReference w:type="default" r:id="rId8"/>
      <w:footerReference w:type="default" r:id="rId9"/>
      <w:pgSz w:w="11906" w:h="16838"/>
      <w:pgMar w:top="720" w:right="720" w:bottom="720" w:left="720" w:header="708" w:footer="85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8864F0" w14:textId="77777777" w:rsidR="00380416" w:rsidRDefault="00380416">
      <w:pPr>
        <w:spacing w:after="0" w:line="240" w:lineRule="auto"/>
      </w:pPr>
      <w:r>
        <w:separator/>
      </w:r>
    </w:p>
  </w:endnote>
  <w:endnote w:type="continuationSeparator" w:id="0">
    <w:p w14:paraId="4538F509" w14:textId="77777777" w:rsidR="00380416" w:rsidRDefault="003804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DFE7CEC-0537-49C7-9488-F4DDD1F60D62}"/>
    <w:embedBold r:id="rId2" w:fontKey="{6B8ED2E3-F0F4-4FD3-8A83-56200FC0030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2D9A8F0D-F679-4389-99C8-BB9837CE9A99}"/>
    <w:embedBold r:id="rId4" w:fontKey="{AF98CED4-4517-473D-9E21-967A7A7FD90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6FAF854D-CF53-4843-95A0-A67DDD50432B}"/>
    <w:embedItalic r:id="rId6" w:fontKey="{B39541C9-D86E-4324-B27E-FC6B20505A00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7" w:fontKey="{9DE343C2-81F6-40C3-A4C9-79B923ACB90F}"/>
    <w:embedBold r:id="rId8" w:fontKey="{00918645-7F76-4AC8-AE18-3117F40D4A2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E9A637C2-6861-4EE1-BBEB-EF9F4AEE13E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289A44" w14:textId="77777777" w:rsidR="004E21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33764">
      <w:rPr>
        <w:noProof/>
        <w:color w:val="000000"/>
      </w:rPr>
      <w:t>1</w:t>
    </w:r>
    <w:r>
      <w:rPr>
        <w:color w:val="000000"/>
      </w:rPr>
      <w:fldChar w:fldCharType="end"/>
    </w:r>
  </w:p>
  <w:p w14:paraId="65B305E8" w14:textId="77777777" w:rsidR="004E21B1" w:rsidRDefault="004E21B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FF76E0" w14:textId="77777777" w:rsidR="00380416" w:rsidRDefault="00380416">
      <w:pPr>
        <w:spacing w:after="0" w:line="240" w:lineRule="auto"/>
      </w:pPr>
      <w:r>
        <w:separator/>
      </w:r>
    </w:p>
  </w:footnote>
  <w:footnote w:type="continuationSeparator" w:id="0">
    <w:p w14:paraId="0896A85F" w14:textId="77777777" w:rsidR="00380416" w:rsidRDefault="003804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DB59E9" w14:textId="77777777" w:rsidR="004E21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</w:t>
    </w:r>
    <w:r>
      <w:rPr>
        <w:noProof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6ECCEBA9" wp14:editId="4679924D">
              <wp:simplePos x="0" y="0"/>
              <wp:positionH relativeFrom="column">
                <wp:posOffset>431800</wp:posOffset>
              </wp:positionH>
              <wp:positionV relativeFrom="paragraph">
                <wp:posOffset>-114299</wp:posOffset>
              </wp:positionV>
              <wp:extent cx="6211050" cy="702477"/>
              <wp:effectExtent l="0" t="0" r="0" b="0"/>
              <wp:wrapNone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250000" y="3438287"/>
                        <a:ext cx="6192000" cy="683427"/>
                      </a:xfrm>
                      <a:prstGeom prst="rect">
                        <a:avLst/>
                      </a:prstGeom>
                      <a:solidFill>
                        <a:srgbClr val="C4E0B2"/>
                      </a:solidFill>
                      <a:ln>
                        <a:noFill/>
                      </a:ln>
                    </wps:spPr>
                    <wps:txbx>
                      <w:txbxContent>
                        <w:p w14:paraId="540203F9" w14:textId="77777777" w:rsidR="004E21B1" w:rsidRDefault="004E21B1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distT="0" distB="0" distL="0" distR="0" simplePos="0" relativeHeight="0" behindDoc="1" locked="0" layoutInCell="1" hidden="0" allowOverlap="1">
              <wp:simplePos x="0" y="0"/>
              <wp:positionH relativeFrom="column">
                <wp:posOffset>431800</wp:posOffset>
              </wp:positionH>
              <wp:positionV relativeFrom="paragraph">
                <wp:posOffset>-114299</wp:posOffset>
              </wp:positionV>
              <wp:extent cx="6211050" cy="702477"/>
              <wp:effectExtent l="0" t="0" r="0" b="0"/>
              <wp:wrapNone/>
              <wp:docPr id="1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211050" cy="702477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40EE80FE" wp14:editId="18D77521">
          <wp:simplePos x="0" y="0"/>
          <wp:positionH relativeFrom="column">
            <wp:posOffset>3</wp:posOffset>
          </wp:positionH>
          <wp:positionV relativeFrom="paragraph">
            <wp:posOffset>-124926</wp:posOffset>
          </wp:positionV>
          <wp:extent cx="353060" cy="654050"/>
          <wp:effectExtent l="0" t="0" r="0" b="0"/>
          <wp:wrapSquare wrapText="bothSides" distT="0" distB="0" distL="114300" distR="114300"/>
          <wp:docPr id="2" name="image3.png" descr="Immagine che contiene logo, Carattere, simbolo, Elementi grafici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Immagine che contiene logo, Carattere, simbolo, Elementi grafici&#10;&#10;Descrizione generata automaticamente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53060" cy="654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1152AF1" w14:textId="77777777" w:rsidR="004E21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60288" behindDoc="0" locked="0" layoutInCell="1" hidden="0" allowOverlap="1" wp14:anchorId="1CB53933" wp14:editId="6F601491">
          <wp:simplePos x="0" y="0"/>
          <wp:positionH relativeFrom="column">
            <wp:posOffset>5394960</wp:posOffset>
          </wp:positionH>
          <wp:positionV relativeFrom="paragraph">
            <wp:posOffset>128904</wp:posOffset>
          </wp:positionV>
          <wp:extent cx="1180465" cy="248285"/>
          <wp:effectExtent l="0" t="0" r="0" b="0"/>
          <wp:wrapSquare wrapText="bothSides" distT="0" distB="0" distL="114300" distR="114300"/>
          <wp:docPr id="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80465" cy="2482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41D3D96" w14:textId="77777777" w:rsidR="004E21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center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b/>
        <w:smallCaps/>
        <w:color w:val="5B9BD5"/>
        <w:sz w:val="32"/>
        <w:szCs w:val="32"/>
      </w:rPr>
      <w:t>MODULE 1. Auto-</w:t>
    </w:r>
    <w:proofErr w:type="spellStart"/>
    <w:r>
      <w:rPr>
        <w:rFonts w:ascii="Century Gothic" w:eastAsia="Century Gothic" w:hAnsi="Century Gothic" w:cs="Century Gothic"/>
        <w:b/>
        <w:smallCaps/>
        <w:color w:val="5B9BD5"/>
        <w:sz w:val="32"/>
        <w:szCs w:val="32"/>
      </w:rPr>
      <w:t>évaluation</w:t>
    </w:r>
    <w:proofErr w:type="spellEnd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7554A"/>
    <w:multiLevelType w:val="multilevel"/>
    <w:tmpl w:val="946449C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3B78C6"/>
    <w:multiLevelType w:val="multilevel"/>
    <w:tmpl w:val="11763A6A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Arial" w:hAnsi="Arial" w:cs="Arial"/>
        <w:b w:val="0"/>
        <w:color w:val="2F549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E469C5"/>
    <w:multiLevelType w:val="multilevel"/>
    <w:tmpl w:val="0C98747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20766E"/>
    <w:multiLevelType w:val="multilevel"/>
    <w:tmpl w:val="54F492C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9274E1"/>
    <w:multiLevelType w:val="multilevel"/>
    <w:tmpl w:val="5482832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D656AC"/>
    <w:multiLevelType w:val="multilevel"/>
    <w:tmpl w:val="B5D2EFD8"/>
    <w:lvl w:ilvl="0">
      <w:start w:val="1"/>
      <w:numFmt w:val="lowerLetter"/>
      <w:lvlText w:val="%1)"/>
      <w:lvlJc w:val="left"/>
      <w:pPr>
        <w:ind w:left="144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13243B6"/>
    <w:multiLevelType w:val="multilevel"/>
    <w:tmpl w:val="AD7C0F0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910DDD"/>
    <w:multiLevelType w:val="multilevel"/>
    <w:tmpl w:val="0ED0B08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116AD2"/>
    <w:multiLevelType w:val="multilevel"/>
    <w:tmpl w:val="99445D0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98276846">
    <w:abstractNumId w:val="3"/>
  </w:num>
  <w:num w:numId="2" w16cid:durableId="871499021">
    <w:abstractNumId w:val="2"/>
  </w:num>
  <w:num w:numId="3" w16cid:durableId="342124243">
    <w:abstractNumId w:val="5"/>
  </w:num>
  <w:num w:numId="4" w16cid:durableId="1681929677">
    <w:abstractNumId w:val="8"/>
  </w:num>
  <w:num w:numId="5" w16cid:durableId="646082563">
    <w:abstractNumId w:val="1"/>
  </w:num>
  <w:num w:numId="6" w16cid:durableId="151920767">
    <w:abstractNumId w:val="6"/>
  </w:num>
  <w:num w:numId="7" w16cid:durableId="1392195093">
    <w:abstractNumId w:val="7"/>
  </w:num>
  <w:num w:numId="8" w16cid:durableId="619459643">
    <w:abstractNumId w:val="4"/>
  </w:num>
  <w:num w:numId="9" w16cid:durableId="14647322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21B1"/>
    <w:rsid w:val="00333764"/>
    <w:rsid w:val="00380416"/>
    <w:rsid w:val="004E21B1"/>
    <w:rsid w:val="009D4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2D306D"/>
  <w15:docId w15:val="{F1303148-D2CD-40BD-9D0B-D50E922F49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widowControl w:val="0"/>
      <w:spacing w:after="0" w:line="289" w:lineRule="auto"/>
      <w:ind w:left="192"/>
      <w:jc w:val="both"/>
      <w:outlineLvl w:val="1"/>
    </w:pPr>
    <w:rPr>
      <w:rFonts w:ascii="Tahoma" w:eastAsia="Tahoma" w:hAnsi="Tahoma" w:cs="Tahoma"/>
      <w:b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s/YW0ndfLr31NUC77J0qgoyKkug==">CgMxLjA4AHIhMVE2MmdhTU5BenBJclVaR1l6ZlMtSlItUHRJUGZzNll1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374</Words>
  <Characters>2060</Characters>
  <Application>Microsoft Office Word</Application>
  <DocSecurity>0</DocSecurity>
  <Lines>17</Lines>
  <Paragraphs>4</Paragraphs>
  <ScaleCrop>false</ScaleCrop>
  <Company/>
  <LinksUpToDate>false</LinksUpToDate>
  <CharactersWithSpaces>2430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 Fornés Romero</dc:creator>
  <cp:keywords>, docId:CB763446E52DAE6185005F13F689D202</cp:keywords>
  <cp:lastModifiedBy>Gertrudis Fornes Romero</cp:lastModifiedBy>
  <cp:revision>2</cp:revision>
  <dcterms:created xsi:type="dcterms:W3CDTF">2024-06-20T10:56:00Z</dcterms:created>
  <dcterms:modified xsi:type="dcterms:W3CDTF">2024-06-20T10:56:00Z</dcterms:modified>
</cp:coreProperties>
</file>