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83119F" w14:textId="77777777" w:rsidR="00D6217F" w:rsidRDefault="00D6217F">
      <w:pPr>
        <w:jc w:val="both"/>
        <w:rPr>
          <w:b/>
          <w:color w:val="9CC3E5"/>
        </w:rPr>
      </w:pPr>
    </w:p>
    <w:p w14:paraId="6F47EAA2" w14:textId="77777777" w:rsidR="00D6217F" w:rsidRPr="00C114FD" w:rsidRDefault="00000000">
      <w:pPr>
        <w:numPr>
          <w:ilvl w:val="0"/>
          <w:numId w:val="7"/>
        </w:numPr>
        <w:pBdr>
          <w:top w:val="nil"/>
          <w:left w:val="nil"/>
          <w:bottom w:val="nil"/>
          <w:right w:val="nil"/>
          <w:between w:val="nil"/>
        </w:pBdr>
        <w:spacing w:before="240"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Dans la maladie, la communication avec la famille est importante</w:t>
      </w:r>
    </w:p>
    <w:p w14:paraId="35013C04" w14:textId="77777777" w:rsidR="00D6217F" w:rsidRPr="00C114FD" w:rsidRDefault="00D6217F">
      <w:pPr>
        <w:pBdr>
          <w:top w:val="nil"/>
          <w:left w:val="nil"/>
          <w:bottom w:val="nil"/>
          <w:right w:val="nil"/>
          <w:between w:val="nil"/>
        </w:pBdr>
        <w:spacing w:after="0"/>
        <w:ind w:left="720"/>
        <w:jc w:val="both"/>
        <w:rPr>
          <w:rFonts w:ascii="Tahoma" w:eastAsia="Tahoma" w:hAnsi="Tahoma" w:cs="Tahoma"/>
          <w:b/>
          <w:color w:val="2F5496"/>
          <w:sz w:val="24"/>
          <w:szCs w:val="24"/>
          <w:lang w:val="fr-FR"/>
        </w:rPr>
      </w:pPr>
    </w:p>
    <w:p w14:paraId="0B684657" w14:textId="77777777" w:rsidR="00D6217F" w:rsidRPr="00C114FD" w:rsidRDefault="00000000">
      <w:pPr>
        <w:numPr>
          <w:ilvl w:val="0"/>
          <w:numId w:val="8"/>
        </w:numPr>
        <w:pBdr>
          <w:top w:val="nil"/>
          <w:left w:val="nil"/>
          <w:bottom w:val="nil"/>
          <w:right w:val="nil"/>
          <w:between w:val="nil"/>
        </w:pBdr>
        <w:spacing w:after="0"/>
        <w:jc w:val="both"/>
        <w:rPr>
          <w:rFonts w:ascii="Century Gothic" w:eastAsia="Century Gothic" w:hAnsi="Century Gothic" w:cs="Century Gothic"/>
          <w:color w:val="000000"/>
          <w:sz w:val="24"/>
          <w:szCs w:val="24"/>
          <w:lang w:val="fr-FR"/>
        </w:rPr>
      </w:pPr>
      <w:r w:rsidRPr="00C114FD">
        <w:rPr>
          <w:rFonts w:ascii="Tahoma" w:eastAsia="Tahoma" w:hAnsi="Tahoma" w:cs="Tahoma"/>
          <w:color w:val="000000"/>
          <w:sz w:val="24"/>
          <w:szCs w:val="24"/>
          <w:lang w:val="fr-FR"/>
        </w:rPr>
        <w:t xml:space="preserve">Tout savoir sur la maladie. </w:t>
      </w:r>
    </w:p>
    <w:p w14:paraId="3A5F25C3" w14:textId="77777777" w:rsidR="00D6217F" w:rsidRPr="00C114FD" w:rsidRDefault="00000000">
      <w:pPr>
        <w:numPr>
          <w:ilvl w:val="0"/>
          <w:numId w:val="8"/>
        </w:numPr>
        <w:pBdr>
          <w:top w:val="nil"/>
          <w:left w:val="nil"/>
          <w:bottom w:val="nil"/>
          <w:right w:val="nil"/>
          <w:between w:val="nil"/>
        </w:pBdr>
        <w:spacing w:after="0"/>
        <w:jc w:val="both"/>
        <w:rPr>
          <w:rFonts w:ascii="Tahoma" w:eastAsia="Tahoma" w:hAnsi="Tahoma" w:cs="Tahoma"/>
          <w:color w:val="FF0000"/>
          <w:sz w:val="24"/>
          <w:szCs w:val="24"/>
          <w:lang w:val="fr-FR"/>
        </w:rPr>
      </w:pPr>
      <w:r w:rsidRPr="00C114FD">
        <w:rPr>
          <w:rFonts w:ascii="Tahoma" w:eastAsia="Tahoma" w:hAnsi="Tahoma" w:cs="Tahoma"/>
          <w:color w:val="FF0000"/>
          <w:sz w:val="24"/>
          <w:szCs w:val="24"/>
          <w:lang w:val="fr-FR"/>
        </w:rPr>
        <w:t xml:space="preserve">Aborder la conversation avec empathie, clarté et soutien. </w:t>
      </w:r>
    </w:p>
    <w:p w14:paraId="6F387F7B" w14:textId="77777777" w:rsidR="00D6217F" w:rsidRPr="00C114FD" w:rsidRDefault="00000000">
      <w:pPr>
        <w:numPr>
          <w:ilvl w:val="0"/>
          <w:numId w:val="8"/>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 xml:space="preserve">Ne rendre compte qu'aux </w:t>
      </w:r>
      <w:r w:rsidRPr="00C114FD">
        <w:rPr>
          <w:rFonts w:ascii="Tahoma" w:eastAsia="Tahoma" w:hAnsi="Tahoma" w:cs="Tahoma"/>
          <w:sz w:val="24"/>
          <w:szCs w:val="24"/>
          <w:lang w:val="fr-FR"/>
        </w:rPr>
        <w:t>patients</w:t>
      </w:r>
      <w:r w:rsidRPr="00C114FD">
        <w:rPr>
          <w:rFonts w:ascii="Tahoma" w:eastAsia="Tahoma" w:hAnsi="Tahoma" w:cs="Tahoma"/>
          <w:color w:val="000000"/>
          <w:sz w:val="24"/>
          <w:szCs w:val="24"/>
          <w:lang w:val="fr-FR"/>
        </w:rPr>
        <w:t xml:space="preserve">, puis à la famille. </w:t>
      </w:r>
    </w:p>
    <w:p w14:paraId="657F8320" w14:textId="77777777" w:rsidR="00D6217F" w:rsidRPr="00C114FD" w:rsidRDefault="00D6217F">
      <w:pPr>
        <w:pBdr>
          <w:top w:val="nil"/>
          <w:left w:val="nil"/>
          <w:bottom w:val="nil"/>
          <w:right w:val="nil"/>
          <w:between w:val="nil"/>
        </w:pBdr>
        <w:spacing w:after="0"/>
        <w:ind w:left="1068"/>
        <w:jc w:val="both"/>
        <w:rPr>
          <w:rFonts w:ascii="Tahoma" w:eastAsia="Tahoma" w:hAnsi="Tahoma" w:cs="Tahoma"/>
          <w:color w:val="000000"/>
          <w:sz w:val="24"/>
          <w:szCs w:val="24"/>
          <w:lang w:val="fr-FR"/>
        </w:rPr>
      </w:pPr>
    </w:p>
    <w:p w14:paraId="67D63CC3" w14:textId="77777777" w:rsidR="00D6217F" w:rsidRPr="00C114FD" w:rsidRDefault="00000000">
      <w:pPr>
        <w:numPr>
          <w:ilvl w:val="0"/>
          <w:numId w:val="7"/>
        </w:numPr>
        <w:pBdr>
          <w:top w:val="nil"/>
          <w:left w:val="nil"/>
          <w:bottom w:val="nil"/>
          <w:right w:val="nil"/>
          <w:between w:val="nil"/>
        </w:pBdr>
        <w:spacing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 xml:space="preserve">Dans le protocole Buckman en six étapes, l'étape de la </w:t>
      </w:r>
      <w:r w:rsidRPr="00C114FD">
        <w:rPr>
          <w:rFonts w:ascii="Tahoma" w:eastAsia="Tahoma" w:hAnsi="Tahoma" w:cs="Tahoma"/>
          <w:i/>
          <w:color w:val="2F5496"/>
          <w:sz w:val="24"/>
          <w:szCs w:val="24"/>
          <w:lang w:val="fr-FR"/>
        </w:rPr>
        <w:t xml:space="preserve">perception consiste à </w:t>
      </w:r>
    </w:p>
    <w:p w14:paraId="20E5F263" w14:textId="77777777" w:rsidR="00D6217F" w:rsidRPr="00C114FD" w:rsidRDefault="00D6217F">
      <w:pPr>
        <w:pBdr>
          <w:top w:val="nil"/>
          <w:left w:val="nil"/>
          <w:bottom w:val="nil"/>
          <w:right w:val="nil"/>
          <w:between w:val="nil"/>
        </w:pBdr>
        <w:spacing w:after="0"/>
        <w:ind w:left="720"/>
        <w:jc w:val="both"/>
        <w:rPr>
          <w:rFonts w:ascii="Tahoma" w:eastAsia="Tahoma" w:hAnsi="Tahoma" w:cs="Tahoma"/>
          <w:b/>
          <w:color w:val="2F5496"/>
          <w:sz w:val="24"/>
          <w:szCs w:val="24"/>
          <w:lang w:val="fr-FR"/>
        </w:rPr>
      </w:pPr>
    </w:p>
    <w:p w14:paraId="309088DF" w14:textId="77777777" w:rsidR="00D6217F" w:rsidRPr="00C114FD" w:rsidRDefault="00000000">
      <w:pPr>
        <w:numPr>
          <w:ilvl w:val="0"/>
          <w:numId w:val="9"/>
        </w:numPr>
        <w:pBdr>
          <w:top w:val="nil"/>
          <w:left w:val="nil"/>
          <w:bottom w:val="nil"/>
          <w:right w:val="nil"/>
          <w:between w:val="nil"/>
        </w:pBdr>
        <w:spacing w:after="0"/>
        <w:jc w:val="both"/>
        <w:rPr>
          <w:rFonts w:ascii="Tahoma" w:eastAsia="Tahoma" w:hAnsi="Tahoma" w:cs="Tahoma"/>
          <w:color w:val="FF0000"/>
          <w:sz w:val="24"/>
          <w:szCs w:val="24"/>
          <w:lang w:val="fr-FR"/>
        </w:rPr>
      </w:pPr>
      <w:r w:rsidRPr="00C114FD">
        <w:rPr>
          <w:rFonts w:ascii="Tahoma" w:eastAsia="Tahoma" w:hAnsi="Tahoma" w:cs="Tahoma"/>
          <w:color w:val="FF0000"/>
          <w:sz w:val="24"/>
          <w:szCs w:val="24"/>
          <w:lang w:val="fr-FR"/>
        </w:rPr>
        <w:t xml:space="preserve"> </w:t>
      </w:r>
      <w:proofErr w:type="gramStart"/>
      <w:r w:rsidRPr="00C114FD">
        <w:rPr>
          <w:rFonts w:ascii="Tahoma" w:eastAsia="Tahoma" w:hAnsi="Tahoma" w:cs="Tahoma"/>
          <w:color w:val="FF0000"/>
          <w:sz w:val="24"/>
          <w:szCs w:val="24"/>
          <w:lang w:val="fr-FR"/>
        </w:rPr>
        <w:t>entamer</w:t>
      </w:r>
      <w:proofErr w:type="gramEnd"/>
      <w:r w:rsidRPr="00C114FD">
        <w:rPr>
          <w:rFonts w:ascii="Tahoma" w:eastAsia="Tahoma" w:hAnsi="Tahoma" w:cs="Tahoma"/>
          <w:color w:val="FF0000"/>
          <w:sz w:val="24"/>
          <w:szCs w:val="24"/>
          <w:lang w:val="fr-FR"/>
        </w:rPr>
        <w:t xml:space="preserve"> la conversation en évaluant la perception qu'a le patient de son état.</w:t>
      </w:r>
    </w:p>
    <w:p w14:paraId="33DFA2BD" w14:textId="77777777" w:rsidR="00D6217F" w:rsidRPr="00C114FD" w:rsidRDefault="00000000">
      <w:pPr>
        <w:numPr>
          <w:ilvl w:val="0"/>
          <w:numId w:val="9"/>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 xml:space="preserve">Créer un espace de discussion qui soit perçu comme accueillant et sûr par le patient et les soignants. </w:t>
      </w:r>
    </w:p>
    <w:p w14:paraId="2572EA54" w14:textId="77777777" w:rsidR="00D6217F" w:rsidRPr="00C114FD" w:rsidRDefault="00000000">
      <w:pPr>
        <w:numPr>
          <w:ilvl w:val="0"/>
          <w:numId w:val="9"/>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 xml:space="preserve">Se concentrer sur l'état émotionnel du patient. </w:t>
      </w:r>
    </w:p>
    <w:p w14:paraId="44945ECC" w14:textId="77777777" w:rsidR="00D6217F" w:rsidRPr="00C114FD" w:rsidRDefault="00D6217F">
      <w:pPr>
        <w:pBdr>
          <w:top w:val="nil"/>
          <w:left w:val="nil"/>
          <w:bottom w:val="nil"/>
          <w:right w:val="nil"/>
          <w:between w:val="nil"/>
        </w:pBdr>
        <w:spacing w:after="0"/>
        <w:ind w:left="1080"/>
        <w:rPr>
          <w:rFonts w:ascii="Tahoma" w:eastAsia="Tahoma" w:hAnsi="Tahoma" w:cs="Tahoma"/>
          <w:color w:val="000000"/>
          <w:sz w:val="24"/>
          <w:szCs w:val="24"/>
          <w:lang w:val="fr-FR"/>
        </w:rPr>
      </w:pPr>
    </w:p>
    <w:p w14:paraId="0B05A07D" w14:textId="77777777" w:rsidR="00D6217F" w:rsidRPr="00C114FD" w:rsidRDefault="00D6217F">
      <w:pPr>
        <w:pBdr>
          <w:top w:val="nil"/>
          <w:left w:val="nil"/>
          <w:bottom w:val="nil"/>
          <w:right w:val="nil"/>
          <w:between w:val="nil"/>
        </w:pBdr>
        <w:spacing w:after="0"/>
        <w:ind w:left="1080"/>
        <w:rPr>
          <w:rFonts w:ascii="Tahoma" w:eastAsia="Tahoma" w:hAnsi="Tahoma" w:cs="Tahoma"/>
          <w:color w:val="000000"/>
          <w:sz w:val="24"/>
          <w:szCs w:val="24"/>
          <w:lang w:val="fr-FR"/>
        </w:rPr>
      </w:pPr>
    </w:p>
    <w:p w14:paraId="71EA8FDB" w14:textId="77777777" w:rsidR="00D6217F" w:rsidRDefault="00000000">
      <w:pPr>
        <w:numPr>
          <w:ilvl w:val="0"/>
          <w:numId w:val="7"/>
        </w:numPr>
        <w:pBdr>
          <w:top w:val="nil"/>
          <w:left w:val="nil"/>
          <w:bottom w:val="nil"/>
          <w:right w:val="nil"/>
          <w:between w:val="nil"/>
        </w:pBdr>
        <w:spacing w:after="0"/>
        <w:rPr>
          <w:rFonts w:ascii="Tahoma" w:eastAsia="Tahoma" w:hAnsi="Tahoma" w:cs="Tahoma"/>
          <w:color w:val="2F5496"/>
          <w:sz w:val="24"/>
          <w:szCs w:val="24"/>
        </w:rPr>
      </w:pPr>
      <w:r w:rsidRPr="00C114FD">
        <w:rPr>
          <w:rFonts w:ascii="Tahoma" w:eastAsia="Tahoma" w:hAnsi="Tahoma" w:cs="Tahoma"/>
          <w:color w:val="2F5496"/>
          <w:sz w:val="24"/>
          <w:szCs w:val="24"/>
          <w:lang w:val="fr-FR"/>
        </w:rPr>
        <w:t xml:space="preserve">Les dispositions législatives relatives à la maladie de Parkinson peuvent varier en fonction du pays ou de la région. </w:t>
      </w:r>
      <w:proofErr w:type="spellStart"/>
      <w:r>
        <w:rPr>
          <w:rFonts w:ascii="Tahoma" w:eastAsia="Tahoma" w:hAnsi="Tahoma" w:cs="Tahoma"/>
          <w:color w:val="2F5496"/>
          <w:sz w:val="24"/>
          <w:szCs w:val="24"/>
        </w:rPr>
        <w:t>Quels</w:t>
      </w:r>
      <w:proofErr w:type="spellEnd"/>
      <w:r>
        <w:rPr>
          <w:rFonts w:ascii="Tahoma" w:eastAsia="Tahoma" w:hAnsi="Tahoma" w:cs="Tahoma"/>
          <w:color w:val="2F5496"/>
          <w:sz w:val="24"/>
          <w:szCs w:val="24"/>
        </w:rPr>
        <w:t xml:space="preserve"> </w:t>
      </w:r>
      <w:proofErr w:type="spellStart"/>
      <w:r>
        <w:rPr>
          <w:rFonts w:ascii="Tahoma" w:eastAsia="Tahoma" w:hAnsi="Tahoma" w:cs="Tahoma"/>
          <w:color w:val="2F5496"/>
          <w:sz w:val="24"/>
          <w:szCs w:val="24"/>
        </w:rPr>
        <w:t>sont</w:t>
      </w:r>
      <w:proofErr w:type="spellEnd"/>
      <w:r>
        <w:rPr>
          <w:rFonts w:ascii="Tahoma" w:eastAsia="Tahoma" w:hAnsi="Tahoma" w:cs="Tahoma"/>
          <w:color w:val="2F5496"/>
          <w:sz w:val="24"/>
          <w:szCs w:val="24"/>
        </w:rPr>
        <w:t xml:space="preserve"> les </w:t>
      </w:r>
      <w:proofErr w:type="spellStart"/>
      <w:r>
        <w:rPr>
          <w:rFonts w:ascii="Tahoma" w:eastAsia="Tahoma" w:hAnsi="Tahoma" w:cs="Tahoma"/>
          <w:color w:val="2F5496"/>
          <w:sz w:val="24"/>
          <w:szCs w:val="24"/>
        </w:rPr>
        <w:t>domaines</w:t>
      </w:r>
      <w:proofErr w:type="spellEnd"/>
      <w:r>
        <w:rPr>
          <w:rFonts w:ascii="Tahoma" w:eastAsia="Tahoma" w:hAnsi="Tahoma" w:cs="Tahoma"/>
          <w:color w:val="2F5496"/>
          <w:sz w:val="24"/>
          <w:szCs w:val="24"/>
        </w:rPr>
        <w:t xml:space="preserve"> de travail les plus </w:t>
      </w:r>
      <w:proofErr w:type="gramStart"/>
      <w:r>
        <w:rPr>
          <w:rFonts w:ascii="Tahoma" w:eastAsia="Tahoma" w:hAnsi="Tahoma" w:cs="Tahoma"/>
          <w:color w:val="2F5496"/>
          <w:sz w:val="24"/>
          <w:szCs w:val="24"/>
        </w:rPr>
        <w:t>courants ?</w:t>
      </w:r>
      <w:proofErr w:type="gramEnd"/>
      <w:r>
        <w:rPr>
          <w:rFonts w:ascii="Tahoma" w:eastAsia="Tahoma" w:hAnsi="Tahoma" w:cs="Tahoma"/>
          <w:color w:val="2F5496"/>
          <w:sz w:val="24"/>
          <w:szCs w:val="24"/>
        </w:rPr>
        <w:t xml:space="preserve"> </w:t>
      </w:r>
    </w:p>
    <w:p w14:paraId="4E9DCA74" w14:textId="77777777" w:rsidR="00D6217F" w:rsidRDefault="00D6217F">
      <w:pPr>
        <w:pBdr>
          <w:top w:val="nil"/>
          <w:left w:val="nil"/>
          <w:bottom w:val="nil"/>
          <w:right w:val="nil"/>
          <w:between w:val="nil"/>
        </w:pBdr>
        <w:spacing w:after="0"/>
        <w:ind w:left="720"/>
        <w:rPr>
          <w:rFonts w:ascii="Tahoma" w:eastAsia="Tahoma" w:hAnsi="Tahoma" w:cs="Tahoma"/>
          <w:b/>
          <w:color w:val="2F5496"/>
          <w:sz w:val="24"/>
          <w:szCs w:val="24"/>
        </w:rPr>
      </w:pPr>
    </w:p>
    <w:p w14:paraId="166CB4C3" w14:textId="77777777" w:rsidR="00D6217F" w:rsidRPr="00C114FD" w:rsidRDefault="00000000">
      <w:pPr>
        <w:numPr>
          <w:ilvl w:val="0"/>
          <w:numId w:val="1"/>
        </w:numPr>
        <w:pBdr>
          <w:top w:val="nil"/>
          <w:left w:val="nil"/>
          <w:bottom w:val="nil"/>
          <w:right w:val="nil"/>
          <w:between w:val="nil"/>
        </w:pBdr>
        <w:spacing w:after="0"/>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Degré de handicap et situation de dépendance.</w:t>
      </w:r>
    </w:p>
    <w:p w14:paraId="635F508A" w14:textId="77777777" w:rsidR="00D6217F" w:rsidRDefault="00000000">
      <w:pPr>
        <w:numPr>
          <w:ilvl w:val="0"/>
          <w:numId w:val="1"/>
        </w:numPr>
        <w:pBdr>
          <w:top w:val="nil"/>
          <w:left w:val="nil"/>
          <w:bottom w:val="nil"/>
          <w:right w:val="nil"/>
          <w:between w:val="nil"/>
        </w:pBdr>
        <w:spacing w:after="0"/>
        <w:rPr>
          <w:rFonts w:ascii="Tahoma" w:eastAsia="Tahoma" w:hAnsi="Tahoma" w:cs="Tahoma"/>
          <w:color w:val="000000"/>
          <w:sz w:val="24"/>
          <w:szCs w:val="24"/>
        </w:rPr>
      </w:pPr>
      <w:proofErr w:type="spellStart"/>
      <w:r>
        <w:rPr>
          <w:rFonts w:ascii="Tahoma" w:eastAsia="Tahoma" w:hAnsi="Tahoma" w:cs="Tahoma"/>
          <w:color w:val="000000"/>
          <w:sz w:val="24"/>
          <w:szCs w:val="24"/>
        </w:rPr>
        <w:t>Avantages</w:t>
      </w:r>
      <w:proofErr w:type="spellEnd"/>
      <w:r>
        <w:rPr>
          <w:rFonts w:ascii="Tahoma" w:eastAsia="Tahoma" w:hAnsi="Tahoma" w:cs="Tahoma"/>
          <w:color w:val="000000"/>
          <w:sz w:val="24"/>
          <w:szCs w:val="24"/>
        </w:rPr>
        <w:t xml:space="preserve"> et </w:t>
      </w:r>
      <w:proofErr w:type="spellStart"/>
      <w:r>
        <w:rPr>
          <w:rFonts w:ascii="Tahoma" w:eastAsia="Tahoma" w:hAnsi="Tahoma" w:cs="Tahoma"/>
          <w:color w:val="000000"/>
          <w:sz w:val="24"/>
          <w:szCs w:val="24"/>
        </w:rPr>
        <w:t>ressources</w:t>
      </w:r>
      <w:proofErr w:type="spellEnd"/>
      <w:r>
        <w:rPr>
          <w:rFonts w:ascii="Tahoma" w:eastAsia="Tahoma" w:hAnsi="Tahoma" w:cs="Tahoma"/>
          <w:color w:val="000000"/>
          <w:sz w:val="24"/>
          <w:szCs w:val="24"/>
        </w:rPr>
        <w:t xml:space="preserve"> </w:t>
      </w:r>
      <w:proofErr w:type="spellStart"/>
      <w:r>
        <w:rPr>
          <w:rFonts w:ascii="Tahoma" w:eastAsia="Tahoma" w:hAnsi="Tahoma" w:cs="Tahoma"/>
          <w:color w:val="000000"/>
          <w:sz w:val="24"/>
          <w:szCs w:val="24"/>
        </w:rPr>
        <w:t>générales</w:t>
      </w:r>
      <w:proofErr w:type="spellEnd"/>
      <w:r>
        <w:rPr>
          <w:rFonts w:ascii="Tahoma" w:eastAsia="Tahoma" w:hAnsi="Tahoma" w:cs="Tahoma"/>
          <w:color w:val="000000"/>
          <w:sz w:val="24"/>
          <w:szCs w:val="24"/>
        </w:rPr>
        <w:t xml:space="preserve">. </w:t>
      </w:r>
    </w:p>
    <w:p w14:paraId="5AA1A4B5" w14:textId="77777777" w:rsidR="00D6217F" w:rsidRDefault="00000000">
      <w:pPr>
        <w:numPr>
          <w:ilvl w:val="0"/>
          <w:numId w:val="1"/>
        </w:numPr>
        <w:pBdr>
          <w:top w:val="nil"/>
          <w:left w:val="nil"/>
          <w:bottom w:val="nil"/>
          <w:right w:val="nil"/>
          <w:between w:val="nil"/>
        </w:pBdr>
        <w:spacing w:after="0"/>
        <w:rPr>
          <w:rFonts w:ascii="Tahoma" w:eastAsia="Tahoma" w:hAnsi="Tahoma" w:cs="Tahoma"/>
          <w:color w:val="FF0000"/>
          <w:sz w:val="24"/>
          <w:szCs w:val="24"/>
        </w:rPr>
      </w:pPr>
      <w:r>
        <w:rPr>
          <w:rFonts w:ascii="Tahoma" w:eastAsia="Tahoma" w:hAnsi="Tahoma" w:cs="Tahoma"/>
          <w:color w:val="FF0000"/>
          <w:sz w:val="24"/>
          <w:szCs w:val="24"/>
        </w:rPr>
        <w:t xml:space="preserve">Tout </w:t>
      </w:r>
      <w:proofErr w:type="spellStart"/>
      <w:r>
        <w:rPr>
          <w:rFonts w:ascii="Tahoma" w:eastAsia="Tahoma" w:hAnsi="Tahoma" w:cs="Tahoma"/>
          <w:color w:val="FF0000"/>
          <w:sz w:val="24"/>
          <w:szCs w:val="24"/>
        </w:rPr>
        <w:t>ce</w:t>
      </w:r>
      <w:proofErr w:type="spellEnd"/>
      <w:r>
        <w:rPr>
          <w:rFonts w:ascii="Tahoma" w:eastAsia="Tahoma" w:hAnsi="Tahoma" w:cs="Tahoma"/>
          <w:color w:val="FF0000"/>
          <w:sz w:val="24"/>
          <w:szCs w:val="24"/>
        </w:rPr>
        <w:t xml:space="preserve"> qui </w:t>
      </w:r>
      <w:proofErr w:type="spellStart"/>
      <w:r>
        <w:rPr>
          <w:rFonts w:ascii="Tahoma" w:eastAsia="Tahoma" w:hAnsi="Tahoma" w:cs="Tahoma"/>
          <w:color w:val="FF0000"/>
          <w:sz w:val="24"/>
          <w:szCs w:val="24"/>
        </w:rPr>
        <w:t>précède</w:t>
      </w:r>
      <w:proofErr w:type="spellEnd"/>
      <w:r>
        <w:rPr>
          <w:rFonts w:ascii="Tahoma" w:eastAsia="Tahoma" w:hAnsi="Tahoma" w:cs="Tahoma"/>
          <w:color w:val="FF0000"/>
          <w:sz w:val="24"/>
          <w:szCs w:val="24"/>
        </w:rPr>
        <w:t>.</w:t>
      </w:r>
    </w:p>
    <w:p w14:paraId="0638A726" w14:textId="77777777" w:rsidR="00D6217F" w:rsidRDefault="00D6217F">
      <w:pPr>
        <w:pBdr>
          <w:top w:val="nil"/>
          <w:left w:val="nil"/>
          <w:bottom w:val="nil"/>
          <w:right w:val="nil"/>
          <w:between w:val="nil"/>
        </w:pBdr>
        <w:spacing w:after="0"/>
        <w:ind w:left="1080"/>
        <w:rPr>
          <w:rFonts w:ascii="Tahoma" w:eastAsia="Tahoma" w:hAnsi="Tahoma" w:cs="Tahoma"/>
          <w:color w:val="FF0000"/>
          <w:sz w:val="24"/>
          <w:szCs w:val="24"/>
        </w:rPr>
      </w:pPr>
    </w:p>
    <w:p w14:paraId="467105CA" w14:textId="77777777" w:rsidR="00D6217F" w:rsidRPr="00C114FD" w:rsidRDefault="00000000">
      <w:pPr>
        <w:numPr>
          <w:ilvl w:val="0"/>
          <w:numId w:val="7"/>
        </w:numPr>
        <w:pBdr>
          <w:top w:val="nil"/>
          <w:left w:val="nil"/>
          <w:bottom w:val="nil"/>
          <w:right w:val="nil"/>
          <w:between w:val="nil"/>
        </w:pBdr>
        <w:spacing w:after="0"/>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Selon l'Organisation mondiale de la santé</w:t>
      </w:r>
    </w:p>
    <w:p w14:paraId="78F7FDEE" w14:textId="77777777" w:rsidR="00D6217F" w:rsidRPr="00C114FD" w:rsidRDefault="00D6217F">
      <w:pPr>
        <w:pBdr>
          <w:top w:val="nil"/>
          <w:left w:val="nil"/>
          <w:bottom w:val="nil"/>
          <w:right w:val="nil"/>
          <w:between w:val="nil"/>
        </w:pBdr>
        <w:spacing w:after="0"/>
        <w:ind w:left="720"/>
        <w:rPr>
          <w:rFonts w:ascii="Tahoma" w:eastAsia="Tahoma" w:hAnsi="Tahoma" w:cs="Tahoma"/>
          <w:b/>
          <w:color w:val="2F5496"/>
          <w:sz w:val="24"/>
          <w:szCs w:val="24"/>
          <w:lang w:val="fr-FR"/>
        </w:rPr>
      </w:pPr>
    </w:p>
    <w:p w14:paraId="5CD594B6" w14:textId="77777777" w:rsidR="00D6217F" w:rsidRPr="00C114FD" w:rsidRDefault="00000000">
      <w:pPr>
        <w:numPr>
          <w:ilvl w:val="0"/>
          <w:numId w:val="2"/>
        </w:numPr>
        <w:pBdr>
          <w:top w:val="nil"/>
          <w:left w:val="nil"/>
          <w:bottom w:val="nil"/>
          <w:right w:val="nil"/>
          <w:between w:val="nil"/>
        </w:pBdr>
        <w:spacing w:after="0"/>
        <w:jc w:val="both"/>
        <w:rPr>
          <w:rFonts w:ascii="Tahoma" w:eastAsia="Tahoma" w:hAnsi="Tahoma" w:cs="Tahoma"/>
          <w:color w:val="FF0000"/>
          <w:sz w:val="24"/>
          <w:szCs w:val="24"/>
          <w:lang w:val="fr-FR"/>
        </w:rPr>
      </w:pPr>
      <w:r w:rsidRPr="00C114FD">
        <w:rPr>
          <w:rFonts w:ascii="Tahoma" w:eastAsia="Tahoma" w:hAnsi="Tahoma" w:cs="Tahoma"/>
          <w:color w:val="FF0000"/>
          <w:sz w:val="24"/>
          <w:szCs w:val="24"/>
          <w:lang w:val="fr-FR"/>
        </w:rPr>
        <w:t xml:space="preserve">Le handicap est une restriction ou une déficience qui empêche une personne d'exercer normalement une activité. </w:t>
      </w:r>
    </w:p>
    <w:p w14:paraId="08B6F0B3" w14:textId="77777777" w:rsidR="00D6217F" w:rsidRPr="00C114FD" w:rsidRDefault="00000000">
      <w:pPr>
        <w:numPr>
          <w:ilvl w:val="0"/>
          <w:numId w:val="2"/>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Le handicap est un état désavantageux pour lequel des mesures doivent toujours être prises.</w:t>
      </w:r>
    </w:p>
    <w:p w14:paraId="6D3CA9B0" w14:textId="77777777" w:rsidR="00D6217F" w:rsidRPr="00C114FD" w:rsidRDefault="00000000">
      <w:pPr>
        <w:numPr>
          <w:ilvl w:val="0"/>
          <w:numId w:val="2"/>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Le handicap ne peut pas être une conséquence directe d'une caractéristique de la personne.</w:t>
      </w:r>
    </w:p>
    <w:p w14:paraId="4B46BAA6" w14:textId="77777777" w:rsidR="00D6217F" w:rsidRPr="00C114FD" w:rsidRDefault="00D6217F">
      <w:pPr>
        <w:pBdr>
          <w:top w:val="nil"/>
          <w:left w:val="nil"/>
          <w:bottom w:val="nil"/>
          <w:right w:val="nil"/>
          <w:between w:val="nil"/>
        </w:pBdr>
        <w:spacing w:after="0"/>
        <w:ind w:left="1080"/>
        <w:jc w:val="both"/>
        <w:rPr>
          <w:rFonts w:ascii="Tahoma" w:eastAsia="Tahoma" w:hAnsi="Tahoma" w:cs="Tahoma"/>
          <w:color w:val="000000"/>
          <w:sz w:val="24"/>
          <w:szCs w:val="24"/>
          <w:lang w:val="fr-FR"/>
        </w:rPr>
      </w:pPr>
    </w:p>
    <w:p w14:paraId="737359ED" w14:textId="77777777" w:rsidR="00D6217F" w:rsidRDefault="00000000">
      <w:pPr>
        <w:spacing w:before="240" w:after="0"/>
        <w:jc w:val="both"/>
        <w:rPr>
          <w:rFonts w:ascii="Tahoma" w:eastAsia="Tahoma" w:hAnsi="Tahoma" w:cs="Tahoma"/>
          <w:b/>
          <w:color w:val="2F5496"/>
          <w:sz w:val="24"/>
          <w:szCs w:val="24"/>
        </w:rPr>
      </w:pPr>
      <w:proofErr w:type="spellStart"/>
      <w:r>
        <w:rPr>
          <w:rFonts w:ascii="Tahoma" w:eastAsia="Tahoma" w:hAnsi="Tahoma" w:cs="Tahoma"/>
          <w:b/>
          <w:color w:val="2F5496"/>
          <w:sz w:val="24"/>
          <w:szCs w:val="24"/>
        </w:rPr>
        <w:t>Législation</w:t>
      </w:r>
      <w:proofErr w:type="spellEnd"/>
      <w:r>
        <w:rPr>
          <w:rFonts w:ascii="Tahoma" w:eastAsia="Tahoma" w:hAnsi="Tahoma" w:cs="Tahoma"/>
          <w:b/>
          <w:color w:val="2F5496"/>
          <w:sz w:val="24"/>
          <w:szCs w:val="24"/>
        </w:rPr>
        <w:t xml:space="preserve"> de </w:t>
      </w:r>
      <w:proofErr w:type="spellStart"/>
      <w:proofErr w:type="gramStart"/>
      <w:r>
        <w:rPr>
          <w:rFonts w:ascii="Tahoma" w:eastAsia="Tahoma" w:hAnsi="Tahoma" w:cs="Tahoma"/>
          <w:b/>
          <w:color w:val="2F5496"/>
          <w:sz w:val="24"/>
          <w:szCs w:val="24"/>
        </w:rPr>
        <w:t>l'UE</w:t>
      </w:r>
      <w:proofErr w:type="spellEnd"/>
      <w:r>
        <w:rPr>
          <w:rFonts w:ascii="Tahoma" w:eastAsia="Tahoma" w:hAnsi="Tahoma" w:cs="Tahoma"/>
          <w:b/>
          <w:color w:val="2F5496"/>
          <w:sz w:val="24"/>
          <w:szCs w:val="24"/>
        </w:rPr>
        <w:t xml:space="preserve"> :</w:t>
      </w:r>
      <w:proofErr w:type="gramEnd"/>
      <w:r>
        <w:rPr>
          <w:rFonts w:ascii="Tahoma" w:eastAsia="Tahoma" w:hAnsi="Tahoma" w:cs="Tahoma"/>
          <w:b/>
          <w:color w:val="2F5496"/>
          <w:sz w:val="24"/>
          <w:szCs w:val="24"/>
        </w:rPr>
        <w:t xml:space="preserve"> </w:t>
      </w:r>
    </w:p>
    <w:p w14:paraId="2B4DE152" w14:textId="77777777" w:rsidR="00D6217F" w:rsidRPr="00C114FD" w:rsidRDefault="00000000">
      <w:pPr>
        <w:numPr>
          <w:ilvl w:val="0"/>
          <w:numId w:val="7"/>
        </w:numPr>
        <w:pBdr>
          <w:top w:val="nil"/>
          <w:left w:val="nil"/>
          <w:bottom w:val="nil"/>
          <w:right w:val="nil"/>
          <w:between w:val="nil"/>
        </w:pBdr>
        <w:spacing w:before="240"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Parkinson Europe est une organisation non gouvernementale qui travaille en étroite collaboration avec les institutions européennes pour défendre les droits et les besoins des personnes atteintes de la maladie de Parkinson.</w:t>
      </w:r>
    </w:p>
    <w:p w14:paraId="65C9C2F4" w14:textId="77777777" w:rsidR="00D6217F" w:rsidRPr="00C114FD" w:rsidRDefault="00D6217F">
      <w:pPr>
        <w:pBdr>
          <w:top w:val="nil"/>
          <w:left w:val="nil"/>
          <w:bottom w:val="nil"/>
          <w:right w:val="nil"/>
          <w:between w:val="nil"/>
        </w:pBdr>
        <w:spacing w:after="0"/>
        <w:ind w:left="720"/>
        <w:jc w:val="both"/>
        <w:rPr>
          <w:rFonts w:ascii="Tahoma" w:eastAsia="Tahoma" w:hAnsi="Tahoma" w:cs="Tahoma"/>
          <w:color w:val="000000"/>
          <w:sz w:val="24"/>
          <w:szCs w:val="24"/>
          <w:lang w:val="fr-FR"/>
        </w:rPr>
      </w:pPr>
    </w:p>
    <w:p w14:paraId="08490560" w14:textId="77777777" w:rsidR="00D6217F" w:rsidRDefault="00000000">
      <w:pPr>
        <w:numPr>
          <w:ilvl w:val="0"/>
          <w:numId w:val="5"/>
        </w:numPr>
        <w:pBdr>
          <w:top w:val="nil"/>
          <w:left w:val="nil"/>
          <w:bottom w:val="nil"/>
          <w:right w:val="nil"/>
          <w:between w:val="nil"/>
        </w:pBdr>
        <w:spacing w:after="0"/>
        <w:jc w:val="both"/>
        <w:rPr>
          <w:rFonts w:ascii="Tahoma" w:eastAsia="Tahoma" w:hAnsi="Tahoma" w:cs="Tahoma"/>
          <w:color w:val="FF0000"/>
          <w:sz w:val="24"/>
          <w:szCs w:val="24"/>
        </w:rPr>
      </w:pPr>
      <w:r>
        <w:rPr>
          <w:rFonts w:ascii="Tahoma" w:eastAsia="Tahoma" w:hAnsi="Tahoma" w:cs="Tahoma"/>
          <w:color w:val="FF0000"/>
          <w:sz w:val="24"/>
          <w:szCs w:val="24"/>
        </w:rPr>
        <w:t>Vrai</w:t>
      </w:r>
    </w:p>
    <w:p w14:paraId="745FFB94" w14:textId="77777777" w:rsidR="00D6217F" w:rsidRDefault="00000000">
      <w:pPr>
        <w:numPr>
          <w:ilvl w:val="0"/>
          <w:numId w:val="5"/>
        </w:numPr>
        <w:pBdr>
          <w:top w:val="nil"/>
          <w:left w:val="nil"/>
          <w:bottom w:val="nil"/>
          <w:right w:val="nil"/>
          <w:between w:val="nil"/>
        </w:pBdr>
        <w:spacing w:after="0"/>
        <w:jc w:val="both"/>
        <w:rPr>
          <w:rFonts w:ascii="Tahoma" w:eastAsia="Tahoma" w:hAnsi="Tahoma" w:cs="Tahoma"/>
          <w:color w:val="000000"/>
          <w:sz w:val="24"/>
          <w:szCs w:val="24"/>
        </w:rPr>
      </w:pPr>
      <w:r>
        <w:rPr>
          <w:rFonts w:ascii="Tahoma" w:eastAsia="Tahoma" w:hAnsi="Tahoma" w:cs="Tahoma"/>
          <w:color w:val="000000"/>
          <w:sz w:val="24"/>
          <w:szCs w:val="24"/>
        </w:rPr>
        <w:t xml:space="preserve">Faux </w:t>
      </w:r>
    </w:p>
    <w:p w14:paraId="21435674" w14:textId="77777777" w:rsidR="00D6217F" w:rsidRDefault="00D6217F">
      <w:pPr>
        <w:spacing w:after="0"/>
        <w:ind w:left="708"/>
        <w:jc w:val="both"/>
        <w:rPr>
          <w:rFonts w:ascii="Tahoma" w:eastAsia="Tahoma" w:hAnsi="Tahoma" w:cs="Tahoma"/>
          <w:color w:val="FF0000"/>
          <w:sz w:val="24"/>
          <w:szCs w:val="24"/>
        </w:rPr>
      </w:pPr>
    </w:p>
    <w:p w14:paraId="2F585305" w14:textId="77777777" w:rsidR="00D6217F" w:rsidRDefault="00D6217F">
      <w:pPr>
        <w:spacing w:after="0"/>
        <w:ind w:left="708"/>
        <w:jc w:val="both"/>
        <w:rPr>
          <w:rFonts w:ascii="Tahoma" w:eastAsia="Tahoma" w:hAnsi="Tahoma" w:cs="Tahoma"/>
          <w:color w:val="FF0000"/>
          <w:sz w:val="24"/>
          <w:szCs w:val="24"/>
        </w:rPr>
      </w:pPr>
    </w:p>
    <w:p w14:paraId="6A75A71A" w14:textId="77777777" w:rsidR="00D6217F" w:rsidRDefault="00D6217F">
      <w:pPr>
        <w:spacing w:after="0"/>
        <w:ind w:left="708"/>
        <w:jc w:val="both"/>
        <w:rPr>
          <w:rFonts w:ascii="Tahoma" w:eastAsia="Tahoma" w:hAnsi="Tahoma" w:cs="Tahoma"/>
          <w:color w:val="FF0000"/>
          <w:sz w:val="24"/>
          <w:szCs w:val="24"/>
        </w:rPr>
      </w:pPr>
    </w:p>
    <w:p w14:paraId="3E988ACE" w14:textId="77777777" w:rsidR="00D6217F" w:rsidRDefault="00D6217F">
      <w:pPr>
        <w:spacing w:after="0"/>
        <w:ind w:left="708"/>
        <w:jc w:val="both"/>
        <w:rPr>
          <w:rFonts w:ascii="Tahoma" w:eastAsia="Tahoma" w:hAnsi="Tahoma" w:cs="Tahoma"/>
          <w:color w:val="FF0000"/>
          <w:sz w:val="24"/>
          <w:szCs w:val="24"/>
        </w:rPr>
      </w:pPr>
    </w:p>
    <w:p w14:paraId="7D11CC0F" w14:textId="77777777" w:rsidR="00D6217F" w:rsidRDefault="00D6217F">
      <w:pPr>
        <w:spacing w:after="0"/>
        <w:ind w:left="708"/>
        <w:jc w:val="both"/>
        <w:rPr>
          <w:rFonts w:ascii="Tahoma" w:eastAsia="Tahoma" w:hAnsi="Tahoma" w:cs="Tahoma"/>
          <w:color w:val="FF0000"/>
          <w:sz w:val="24"/>
          <w:szCs w:val="24"/>
        </w:rPr>
      </w:pPr>
    </w:p>
    <w:p w14:paraId="2ECE69BD" w14:textId="77777777" w:rsidR="00D6217F" w:rsidRDefault="00D6217F">
      <w:pPr>
        <w:spacing w:after="0"/>
        <w:jc w:val="both"/>
        <w:rPr>
          <w:rFonts w:ascii="Tahoma" w:eastAsia="Tahoma" w:hAnsi="Tahoma" w:cs="Tahoma"/>
          <w:color w:val="FF0000"/>
          <w:sz w:val="24"/>
          <w:szCs w:val="24"/>
        </w:rPr>
      </w:pPr>
    </w:p>
    <w:p w14:paraId="3FBB4F1A" w14:textId="77777777" w:rsidR="00D6217F" w:rsidRPr="00C114FD" w:rsidRDefault="00000000">
      <w:pPr>
        <w:numPr>
          <w:ilvl w:val="0"/>
          <w:numId w:val="7"/>
        </w:numPr>
        <w:pBdr>
          <w:top w:val="nil"/>
          <w:left w:val="nil"/>
          <w:bottom w:val="nil"/>
          <w:right w:val="nil"/>
          <w:between w:val="nil"/>
        </w:pBdr>
        <w:spacing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 xml:space="preserve">Les patients ne peuvent pas avoir le droit de changer leur contrat de temps plein à temps partiel après le diagnostic de la maladie. </w:t>
      </w:r>
    </w:p>
    <w:p w14:paraId="0FD67150" w14:textId="77777777" w:rsidR="00D6217F" w:rsidRPr="00C114FD" w:rsidRDefault="00D6217F">
      <w:pPr>
        <w:spacing w:after="0"/>
        <w:ind w:left="708"/>
        <w:jc w:val="both"/>
        <w:rPr>
          <w:rFonts w:ascii="Tahoma" w:eastAsia="Tahoma" w:hAnsi="Tahoma" w:cs="Tahoma"/>
          <w:color w:val="000000"/>
          <w:sz w:val="24"/>
          <w:szCs w:val="24"/>
          <w:lang w:val="fr-FR"/>
        </w:rPr>
      </w:pPr>
    </w:p>
    <w:p w14:paraId="30C5CDE0" w14:textId="77777777" w:rsidR="00D6217F" w:rsidRDefault="00000000">
      <w:pPr>
        <w:numPr>
          <w:ilvl w:val="0"/>
          <w:numId w:val="4"/>
        </w:numPr>
        <w:spacing w:after="0"/>
        <w:jc w:val="both"/>
        <w:rPr>
          <w:rFonts w:ascii="Tahoma" w:eastAsia="Tahoma" w:hAnsi="Tahoma" w:cs="Tahoma"/>
          <w:color w:val="000000"/>
          <w:sz w:val="24"/>
          <w:szCs w:val="24"/>
        </w:rPr>
      </w:pPr>
      <w:r>
        <w:rPr>
          <w:rFonts w:ascii="Tahoma" w:eastAsia="Tahoma" w:hAnsi="Tahoma" w:cs="Tahoma"/>
          <w:color w:val="000000"/>
          <w:sz w:val="24"/>
          <w:szCs w:val="24"/>
        </w:rPr>
        <w:t>Vrai</w:t>
      </w:r>
    </w:p>
    <w:p w14:paraId="2F77CC9D" w14:textId="77777777" w:rsidR="00D6217F" w:rsidRDefault="00000000">
      <w:pPr>
        <w:numPr>
          <w:ilvl w:val="0"/>
          <w:numId w:val="4"/>
        </w:numPr>
        <w:spacing w:after="0"/>
        <w:jc w:val="both"/>
        <w:rPr>
          <w:rFonts w:ascii="Tahoma" w:eastAsia="Tahoma" w:hAnsi="Tahoma" w:cs="Tahoma"/>
          <w:color w:val="FF0000"/>
          <w:sz w:val="24"/>
          <w:szCs w:val="24"/>
        </w:rPr>
      </w:pPr>
      <w:r>
        <w:rPr>
          <w:rFonts w:ascii="Tahoma" w:eastAsia="Tahoma" w:hAnsi="Tahoma" w:cs="Tahoma"/>
          <w:color w:val="FF0000"/>
          <w:sz w:val="24"/>
          <w:szCs w:val="24"/>
        </w:rPr>
        <w:t>Faux</w:t>
      </w:r>
    </w:p>
    <w:p w14:paraId="21F16C64" w14:textId="77777777" w:rsidR="00D6217F" w:rsidRDefault="00D6217F">
      <w:pPr>
        <w:spacing w:after="0"/>
        <w:ind w:left="708"/>
        <w:jc w:val="both"/>
        <w:rPr>
          <w:rFonts w:ascii="Tahoma" w:eastAsia="Tahoma" w:hAnsi="Tahoma" w:cs="Tahoma"/>
          <w:color w:val="000000"/>
          <w:sz w:val="24"/>
          <w:szCs w:val="24"/>
        </w:rPr>
      </w:pPr>
    </w:p>
    <w:p w14:paraId="45D80B80" w14:textId="77777777" w:rsidR="00D6217F" w:rsidRPr="00C114FD" w:rsidRDefault="00000000">
      <w:pPr>
        <w:numPr>
          <w:ilvl w:val="0"/>
          <w:numId w:val="7"/>
        </w:numPr>
        <w:pBdr>
          <w:top w:val="nil"/>
          <w:left w:val="nil"/>
          <w:bottom w:val="nil"/>
          <w:right w:val="nil"/>
          <w:between w:val="nil"/>
        </w:pBdr>
        <w:spacing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Au fur et à mesure de l'évolution de la maladie, la Commission des permis de conduire évalue dans quelle mesure la maladie limite les performances du candidat et peut imposer des restrictions à l'utilisation du permis.</w:t>
      </w:r>
    </w:p>
    <w:p w14:paraId="0C3DF8CE" w14:textId="77777777" w:rsidR="00D6217F" w:rsidRPr="00C114FD" w:rsidRDefault="00D6217F">
      <w:pPr>
        <w:pBdr>
          <w:top w:val="nil"/>
          <w:left w:val="nil"/>
          <w:bottom w:val="nil"/>
          <w:right w:val="nil"/>
          <w:between w:val="nil"/>
        </w:pBdr>
        <w:spacing w:after="0"/>
        <w:ind w:left="720"/>
        <w:jc w:val="both"/>
        <w:rPr>
          <w:rFonts w:ascii="Tahoma" w:eastAsia="Tahoma" w:hAnsi="Tahoma" w:cs="Tahoma"/>
          <w:color w:val="000000"/>
          <w:sz w:val="24"/>
          <w:szCs w:val="24"/>
          <w:lang w:val="fr-FR"/>
        </w:rPr>
      </w:pPr>
    </w:p>
    <w:p w14:paraId="407EBF5E" w14:textId="77777777" w:rsidR="00D6217F" w:rsidRDefault="00000000">
      <w:pPr>
        <w:numPr>
          <w:ilvl w:val="0"/>
          <w:numId w:val="6"/>
        </w:numPr>
        <w:pBdr>
          <w:top w:val="nil"/>
          <w:left w:val="nil"/>
          <w:bottom w:val="nil"/>
          <w:right w:val="nil"/>
          <w:between w:val="nil"/>
        </w:pBdr>
        <w:spacing w:after="0"/>
        <w:jc w:val="both"/>
        <w:rPr>
          <w:rFonts w:ascii="Tahoma" w:eastAsia="Tahoma" w:hAnsi="Tahoma" w:cs="Tahoma"/>
          <w:color w:val="FF0000"/>
          <w:sz w:val="24"/>
          <w:szCs w:val="24"/>
        </w:rPr>
      </w:pPr>
      <w:r>
        <w:rPr>
          <w:rFonts w:ascii="Tahoma" w:eastAsia="Tahoma" w:hAnsi="Tahoma" w:cs="Tahoma"/>
          <w:color w:val="FF0000"/>
          <w:sz w:val="24"/>
          <w:szCs w:val="24"/>
        </w:rPr>
        <w:t>Vrai</w:t>
      </w:r>
    </w:p>
    <w:p w14:paraId="59804C64" w14:textId="77777777" w:rsidR="00D6217F" w:rsidRDefault="00000000">
      <w:pPr>
        <w:numPr>
          <w:ilvl w:val="0"/>
          <w:numId w:val="6"/>
        </w:numPr>
        <w:pBdr>
          <w:top w:val="nil"/>
          <w:left w:val="nil"/>
          <w:bottom w:val="nil"/>
          <w:right w:val="nil"/>
          <w:between w:val="nil"/>
        </w:pBdr>
        <w:spacing w:after="0"/>
        <w:jc w:val="both"/>
        <w:rPr>
          <w:rFonts w:ascii="Tahoma" w:eastAsia="Tahoma" w:hAnsi="Tahoma" w:cs="Tahoma"/>
          <w:color w:val="000000"/>
          <w:sz w:val="24"/>
          <w:szCs w:val="24"/>
        </w:rPr>
      </w:pPr>
      <w:r>
        <w:rPr>
          <w:rFonts w:ascii="Tahoma" w:eastAsia="Tahoma" w:hAnsi="Tahoma" w:cs="Tahoma"/>
          <w:color w:val="000000"/>
          <w:sz w:val="24"/>
          <w:szCs w:val="24"/>
        </w:rPr>
        <w:t>Faux</w:t>
      </w:r>
    </w:p>
    <w:p w14:paraId="29FF90F7" w14:textId="77777777" w:rsidR="00D6217F" w:rsidRDefault="00D6217F">
      <w:pPr>
        <w:spacing w:after="0"/>
        <w:jc w:val="both"/>
        <w:rPr>
          <w:rFonts w:ascii="Tahoma" w:eastAsia="Tahoma" w:hAnsi="Tahoma" w:cs="Tahoma"/>
          <w:color w:val="000000"/>
          <w:sz w:val="24"/>
          <w:szCs w:val="24"/>
        </w:rPr>
      </w:pPr>
    </w:p>
    <w:p w14:paraId="4C691824" w14:textId="77777777" w:rsidR="00D6217F" w:rsidRDefault="00D6217F">
      <w:pPr>
        <w:spacing w:after="0"/>
        <w:ind w:left="708"/>
        <w:jc w:val="both"/>
        <w:rPr>
          <w:rFonts w:ascii="Tahoma" w:eastAsia="Tahoma" w:hAnsi="Tahoma" w:cs="Tahoma"/>
          <w:color w:val="000000"/>
          <w:sz w:val="24"/>
          <w:szCs w:val="24"/>
        </w:rPr>
      </w:pPr>
    </w:p>
    <w:p w14:paraId="76CFF0B2" w14:textId="77777777" w:rsidR="00D6217F" w:rsidRPr="00C114FD" w:rsidRDefault="00000000">
      <w:pPr>
        <w:numPr>
          <w:ilvl w:val="0"/>
          <w:numId w:val="7"/>
        </w:numPr>
        <w:pBdr>
          <w:top w:val="nil"/>
          <w:left w:val="nil"/>
          <w:bottom w:val="nil"/>
          <w:right w:val="nil"/>
          <w:between w:val="nil"/>
        </w:pBdr>
        <w:spacing w:after="0"/>
        <w:jc w:val="both"/>
        <w:rPr>
          <w:rFonts w:ascii="Tahoma" w:eastAsia="Tahoma" w:hAnsi="Tahoma" w:cs="Tahoma"/>
          <w:color w:val="2F5496"/>
          <w:sz w:val="24"/>
          <w:szCs w:val="24"/>
          <w:lang w:val="fr-FR"/>
        </w:rPr>
      </w:pPr>
      <w:r w:rsidRPr="00C114FD">
        <w:rPr>
          <w:rFonts w:ascii="Tahoma" w:eastAsia="Tahoma" w:hAnsi="Tahoma" w:cs="Tahoma"/>
          <w:color w:val="2F5496"/>
          <w:sz w:val="24"/>
          <w:szCs w:val="24"/>
          <w:lang w:val="fr-FR"/>
        </w:rPr>
        <w:t xml:space="preserve"> Pour une personne handicapée, l'incapacité totale à exercer sa profession habituelle signifie</w:t>
      </w:r>
    </w:p>
    <w:p w14:paraId="2251D1C7" w14:textId="77777777" w:rsidR="00D6217F" w:rsidRPr="00C114FD" w:rsidRDefault="00D6217F">
      <w:pPr>
        <w:spacing w:after="0"/>
        <w:ind w:left="708"/>
        <w:jc w:val="both"/>
        <w:rPr>
          <w:rFonts w:ascii="Tahoma" w:eastAsia="Tahoma" w:hAnsi="Tahoma" w:cs="Tahoma"/>
          <w:color w:val="2F5496"/>
          <w:sz w:val="24"/>
          <w:szCs w:val="24"/>
          <w:lang w:val="fr-FR"/>
        </w:rPr>
      </w:pPr>
    </w:p>
    <w:p w14:paraId="37E99589" w14:textId="77777777" w:rsidR="00D6217F" w:rsidRPr="00C114FD" w:rsidRDefault="00000000">
      <w:pPr>
        <w:numPr>
          <w:ilvl w:val="0"/>
          <w:numId w:val="3"/>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La situation d'un travailleur handicapé de façon permanente, en raison de pertes anatomiques ou fonctionnelles, qui a besoin de l'assistance d'une autre personne pour accomplir les actes les plus essentiels de la vie.</w:t>
      </w:r>
    </w:p>
    <w:p w14:paraId="171A853C" w14:textId="77777777" w:rsidR="00D6217F" w:rsidRPr="00C114FD" w:rsidRDefault="00000000">
      <w:pPr>
        <w:numPr>
          <w:ilvl w:val="0"/>
          <w:numId w:val="3"/>
        </w:numPr>
        <w:pBdr>
          <w:top w:val="nil"/>
          <w:left w:val="nil"/>
          <w:bottom w:val="nil"/>
          <w:right w:val="nil"/>
          <w:between w:val="nil"/>
        </w:pBdr>
        <w:spacing w:after="0"/>
        <w:jc w:val="both"/>
        <w:rPr>
          <w:rFonts w:ascii="Tahoma" w:eastAsia="Tahoma" w:hAnsi="Tahoma" w:cs="Tahoma"/>
          <w:color w:val="000000"/>
          <w:sz w:val="24"/>
          <w:szCs w:val="24"/>
          <w:lang w:val="fr-FR"/>
        </w:rPr>
      </w:pPr>
      <w:r w:rsidRPr="00C114FD">
        <w:rPr>
          <w:rFonts w:ascii="Tahoma" w:eastAsia="Tahoma" w:hAnsi="Tahoma" w:cs="Tahoma"/>
          <w:color w:val="000000"/>
          <w:sz w:val="24"/>
          <w:szCs w:val="24"/>
          <w:lang w:val="fr-FR"/>
        </w:rPr>
        <w:t>Une incapacité absolue pour tout travail qui rend le travailleur complètement invalide pour toutes les professions ou tous les métiers.</w:t>
      </w:r>
    </w:p>
    <w:p w14:paraId="6F7607D1" w14:textId="77777777" w:rsidR="00D6217F" w:rsidRPr="00C114FD" w:rsidRDefault="00000000">
      <w:pPr>
        <w:numPr>
          <w:ilvl w:val="0"/>
          <w:numId w:val="3"/>
        </w:numPr>
        <w:pBdr>
          <w:top w:val="nil"/>
          <w:left w:val="nil"/>
          <w:bottom w:val="nil"/>
          <w:right w:val="nil"/>
          <w:between w:val="nil"/>
        </w:pBdr>
        <w:spacing w:after="0"/>
        <w:jc w:val="both"/>
        <w:rPr>
          <w:rFonts w:ascii="Tahoma" w:eastAsia="Tahoma" w:hAnsi="Tahoma" w:cs="Tahoma"/>
          <w:color w:val="FF0000"/>
          <w:sz w:val="24"/>
          <w:szCs w:val="24"/>
          <w:lang w:val="fr-FR"/>
        </w:rPr>
      </w:pPr>
      <w:r w:rsidRPr="00C114FD">
        <w:rPr>
          <w:rFonts w:ascii="Tahoma" w:eastAsia="Tahoma" w:hAnsi="Tahoma" w:cs="Tahoma"/>
          <w:color w:val="FF0000"/>
          <w:sz w:val="24"/>
          <w:szCs w:val="24"/>
          <w:lang w:val="fr-FR"/>
        </w:rPr>
        <w:t>La situation empêche le travailleur d'accomplir l'ensemble ou les tâches fondamentales de sa profession.</w:t>
      </w:r>
    </w:p>
    <w:p w14:paraId="1E16BF89" w14:textId="77777777" w:rsidR="00D6217F" w:rsidRPr="00C114FD" w:rsidRDefault="00D6217F">
      <w:pPr>
        <w:spacing w:after="0"/>
        <w:jc w:val="both"/>
        <w:rPr>
          <w:rFonts w:ascii="Tahoma" w:eastAsia="Tahoma" w:hAnsi="Tahoma" w:cs="Tahoma"/>
          <w:color w:val="000000"/>
          <w:sz w:val="24"/>
          <w:szCs w:val="24"/>
          <w:lang w:val="fr-FR"/>
        </w:rPr>
      </w:pPr>
    </w:p>
    <w:p w14:paraId="69BE9FBE" w14:textId="77777777" w:rsidR="00D6217F" w:rsidRPr="00C114FD" w:rsidRDefault="00D6217F">
      <w:pPr>
        <w:pBdr>
          <w:top w:val="nil"/>
          <w:left w:val="nil"/>
          <w:bottom w:val="nil"/>
          <w:right w:val="nil"/>
          <w:between w:val="nil"/>
        </w:pBdr>
        <w:spacing w:after="0"/>
        <w:ind w:left="720"/>
        <w:jc w:val="both"/>
        <w:rPr>
          <w:rFonts w:ascii="Tahoma" w:eastAsia="Tahoma" w:hAnsi="Tahoma" w:cs="Tahoma"/>
          <w:color w:val="000000"/>
          <w:sz w:val="24"/>
          <w:szCs w:val="24"/>
          <w:lang w:val="fr-FR"/>
        </w:rPr>
      </w:pPr>
    </w:p>
    <w:p w14:paraId="510325F9" w14:textId="77777777" w:rsidR="00D6217F" w:rsidRPr="00C114FD" w:rsidRDefault="00D6217F">
      <w:pPr>
        <w:spacing w:after="0"/>
        <w:jc w:val="both"/>
        <w:rPr>
          <w:rFonts w:ascii="Century Gothic" w:eastAsia="Century Gothic" w:hAnsi="Century Gothic" w:cs="Century Gothic"/>
          <w:color w:val="000000"/>
          <w:sz w:val="20"/>
          <w:szCs w:val="20"/>
          <w:lang w:val="fr-FR"/>
        </w:rPr>
      </w:pPr>
    </w:p>
    <w:p w14:paraId="00D49528" w14:textId="77777777" w:rsidR="00D6217F" w:rsidRPr="00C114FD" w:rsidRDefault="00D6217F">
      <w:pPr>
        <w:spacing w:after="0"/>
        <w:ind w:left="708"/>
        <w:jc w:val="both"/>
        <w:rPr>
          <w:rFonts w:ascii="Century Gothic" w:eastAsia="Century Gothic" w:hAnsi="Century Gothic" w:cs="Century Gothic"/>
          <w:b/>
          <w:color w:val="2F5496"/>
          <w:lang w:val="fr-FR"/>
        </w:rPr>
      </w:pPr>
    </w:p>
    <w:p w14:paraId="766ACEE2" w14:textId="77777777" w:rsidR="00D6217F" w:rsidRPr="00C114FD" w:rsidRDefault="00D6217F">
      <w:pPr>
        <w:spacing w:before="240" w:after="0"/>
        <w:jc w:val="both"/>
        <w:rPr>
          <w:rFonts w:ascii="Century Gothic" w:eastAsia="Century Gothic" w:hAnsi="Century Gothic" w:cs="Century Gothic"/>
          <w:color w:val="000000"/>
          <w:lang w:val="fr-FR"/>
        </w:rPr>
      </w:pPr>
    </w:p>
    <w:sectPr w:rsidR="00D6217F" w:rsidRPr="00C114FD">
      <w:headerReference w:type="default" r:id="rId8"/>
      <w:footerReference w:type="default" r:id="rId9"/>
      <w:pgSz w:w="11906" w:h="16838"/>
      <w:pgMar w:top="720" w:right="720" w:bottom="720" w:left="720" w:header="708" w:footer="8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0A1435" w14:textId="77777777" w:rsidR="00206076" w:rsidRDefault="00206076">
      <w:pPr>
        <w:spacing w:after="0" w:line="240" w:lineRule="auto"/>
      </w:pPr>
      <w:r>
        <w:separator/>
      </w:r>
    </w:p>
  </w:endnote>
  <w:endnote w:type="continuationSeparator" w:id="0">
    <w:p w14:paraId="2D6642D7" w14:textId="77777777" w:rsidR="00206076" w:rsidRDefault="002060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1" w:fontKey="{061168AA-FE3B-4CD2-B3F7-F119EF7DC4AD}"/>
    <w:embedBold r:id="rId2" w:fontKey="{D8410A58-DB6B-48A2-8AA3-D7E810304376}"/>
  </w:font>
  <w:font w:name="Calibri">
    <w:panose1 w:val="020F0502020204030204"/>
    <w:charset w:val="00"/>
    <w:family w:val="swiss"/>
    <w:pitch w:val="variable"/>
    <w:sig w:usb0="E4002EFF" w:usb1="C200247B" w:usb2="00000009" w:usb3="00000000" w:csb0="000001FF" w:csb1="00000000"/>
    <w:embedRegular r:id="rId3" w:fontKey="{1D8642B2-C651-4EB2-ACD1-042F828ED5AD}"/>
    <w:embedBold r:id="rId4" w:fontKey="{9B32E5D5-FD53-4AB4-838D-306C9ED7AD29}"/>
  </w:font>
  <w:font w:name="Georgia">
    <w:panose1 w:val="02040502050405020303"/>
    <w:charset w:val="00"/>
    <w:family w:val="roman"/>
    <w:pitch w:val="variable"/>
    <w:sig w:usb0="00000287" w:usb1="00000000" w:usb2="00000000" w:usb3="00000000" w:csb0="0000009F" w:csb1="00000000"/>
    <w:embedRegular r:id="rId5" w:fontKey="{EFF134A1-656B-45B4-A039-EBC68184C12A}"/>
    <w:embedItalic r:id="rId6" w:fontKey="{F9A33237-7FDE-46E4-87FD-A84DECE3939D}"/>
  </w:font>
  <w:font w:name="Tahoma">
    <w:panose1 w:val="020B0604030504040204"/>
    <w:charset w:val="00"/>
    <w:family w:val="swiss"/>
    <w:pitch w:val="variable"/>
    <w:sig w:usb0="E1002EFF" w:usb1="C000605B" w:usb2="00000029" w:usb3="00000000" w:csb0="000101FF" w:csb1="00000000"/>
    <w:embedRegular r:id="rId7" w:fontKey="{EAA5F650-DD32-4CE2-AB0C-59CA28C05D50}"/>
    <w:embedBold r:id="rId8" w:fontKey="{282741B2-D3BB-4396-B682-F293BCDE6CF5}"/>
    <w:embedItalic r:id="rId9" w:fontKey="{C8AADE54-4AB8-4AA0-9E1D-5E2B2821F337}"/>
  </w:font>
  <w:font w:name="Cambria">
    <w:panose1 w:val="02040503050406030204"/>
    <w:charset w:val="00"/>
    <w:family w:val="roman"/>
    <w:pitch w:val="variable"/>
    <w:sig w:usb0="E00006FF" w:usb1="420024FF" w:usb2="02000000" w:usb3="00000000" w:csb0="0000019F" w:csb1="00000000"/>
    <w:embedRegular r:id="rId10" w:fontKey="{253F0C1D-5E24-4252-AC1F-74E57A617B0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D21DC7" w14:textId="77777777" w:rsidR="00D6217F" w:rsidRDefault="00000000">
    <w:pPr>
      <w:pBdr>
        <w:top w:val="nil"/>
        <w:left w:val="nil"/>
        <w:bottom w:val="nil"/>
        <w:right w:val="nil"/>
        <w:between w:val="nil"/>
      </w:pBdr>
      <w:tabs>
        <w:tab w:val="center" w:pos="4252"/>
        <w:tab w:val="right" w:pos="8504"/>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C114FD">
      <w:rPr>
        <w:noProof/>
        <w:color w:val="000000"/>
      </w:rPr>
      <w:t>1</w:t>
    </w:r>
    <w:r>
      <w:rPr>
        <w:color w:val="000000"/>
      </w:rPr>
      <w:fldChar w:fldCharType="end"/>
    </w:r>
  </w:p>
  <w:p w14:paraId="7CCD1296" w14:textId="77777777" w:rsidR="00D6217F" w:rsidRDefault="00D6217F">
    <w:pPr>
      <w:pBdr>
        <w:top w:val="nil"/>
        <w:left w:val="nil"/>
        <w:bottom w:val="nil"/>
        <w:right w:val="nil"/>
        <w:between w:val="nil"/>
      </w:pBdr>
      <w:tabs>
        <w:tab w:val="center" w:pos="4252"/>
        <w:tab w:val="right" w:pos="8504"/>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1CA810" w14:textId="77777777" w:rsidR="00206076" w:rsidRDefault="00206076">
      <w:pPr>
        <w:spacing w:after="0" w:line="240" w:lineRule="auto"/>
      </w:pPr>
      <w:r>
        <w:separator/>
      </w:r>
    </w:p>
  </w:footnote>
  <w:footnote w:type="continuationSeparator" w:id="0">
    <w:p w14:paraId="50243CBE" w14:textId="77777777" w:rsidR="00206076" w:rsidRDefault="002060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4A2D10" w14:textId="77777777" w:rsidR="00D6217F" w:rsidRDefault="00000000">
    <w:pPr>
      <w:pBdr>
        <w:top w:val="nil"/>
        <w:left w:val="nil"/>
        <w:bottom w:val="nil"/>
        <w:right w:val="nil"/>
        <w:between w:val="nil"/>
      </w:pBdr>
      <w:tabs>
        <w:tab w:val="center" w:pos="4252"/>
        <w:tab w:val="right" w:pos="8504"/>
      </w:tabs>
      <w:spacing w:after="0" w:line="240" w:lineRule="auto"/>
      <w:rPr>
        <w:color w:val="000000"/>
      </w:rPr>
    </w:pPr>
    <w:r>
      <w:rPr>
        <w:color w:val="000000"/>
      </w:rPr>
      <w:t xml:space="preserve">                                          </w:t>
    </w:r>
    <w:r>
      <w:rPr>
        <w:noProof/>
      </w:rPr>
      <mc:AlternateContent>
        <mc:Choice Requires="wpg">
          <w:drawing>
            <wp:anchor distT="0" distB="0" distL="0" distR="0" simplePos="0" relativeHeight="251658240" behindDoc="1" locked="0" layoutInCell="1" hidden="0" allowOverlap="1" wp14:anchorId="0A4E47AA" wp14:editId="781FF23C">
              <wp:simplePos x="0" y="0"/>
              <wp:positionH relativeFrom="column">
                <wp:posOffset>431800</wp:posOffset>
              </wp:positionH>
              <wp:positionV relativeFrom="paragraph">
                <wp:posOffset>-114299</wp:posOffset>
              </wp:positionV>
              <wp:extent cx="6211050" cy="702477"/>
              <wp:effectExtent l="0" t="0" r="0" b="0"/>
              <wp:wrapNone/>
              <wp:docPr id="1" name="Rectángulo 1"/>
              <wp:cNvGraphicFramePr/>
              <a:graphic xmlns:a="http://schemas.openxmlformats.org/drawingml/2006/main">
                <a:graphicData uri="http://schemas.microsoft.com/office/word/2010/wordprocessingShape">
                  <wps:wsp>
                    <wps:cNvSpPr/>
                    <wps:spPr>
                      <a:xfrm>
                        <a:off x="2250000" y="3438287"/>
                        <a:ext cx="6192000" cy="683427"/>
                      </a:xfrm>
                      <a:prstGeom prst="rect">
                        <a:avLst/>
                      </a:prstGeom>
                      <a:solidFill>
                        <a:srgbClr val="C4E0B2"/>
                      </a:solidFill>
                      <a:ln>
                        <a:noFill/>
                      </a:ln>
                    </wps:spPr>
                    <wps:txbx>
                      <w:txbxContent>
                        <w:p w14:paraId="56F2F655" w14:textId="77777777" w:rsidR="00D6217F" w:rsidRDefault="00D6217F">
                          <w:pPr>
                            <w:spacing w:line="258" w:lineRule="auto"/>
                            <w:textDirection w:val="btLr"/>
                          </w:pP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0" distB="0" distL="0" distR="0" simplePos="0" relativeHeight="0" behindDoc="1" locked="0" layoutInCell="1" hidden="0" allowOverlap="1">
              <wp:simplePos x="0" y="0"/>
              <wp:positionH relativeFrom="column">
                <wp:posOffset>431800</wp:posOffset>
              </wp:positionH>
              <wp:positionV relativeFrom="paragraph">
                <wp:posOffset>-114299</wp:posOffset>
              </wp:positionV>
              <wp:extent cx="6211050" cy="702477"/>
              <wp:effectExtent l="0" t="0" r="0" b="0"/>
              <wp:wrapNone/>
              <wp:docPr id="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6211050" cy="702477"/>
                      </a:xfrm>
                      <a:prstGeom prst="rect"/>
                      <a:ln/>
                    </pic:spPr>
                  </pic:pic>
                </a:graphicData>
              </a:graphic>
            </wp:anchor>
          </w:drawing>
        </mc:Fallback>
      </mc:AlternateContent>
    </w:r>
    <w:r>
      <w:rPr>
        <w:noProof/>
      </w:rPr>
      <w:drawing>
        <wp:anchor distT="0" distB="0" distL="114300" distR="114300" simplePos="0" relativeHeight="251659264" behindDoc="0" locked="0" layoutInCell="1" hidden="0" allowOverlap="1" wp14:anchorId="7C9CF1D0" wp14:editId="2BF5A8E2">
          <wp:simplePos x="0" y="0"/>
          <wp:positionH relativeFrom="column">
            <wp:posOffset>3</wp:posOffset>
          </wp:positionH>
          <wp:positionV relativeFrom="paragraph">
            <wp:posOffset>-124926</wp:posOffset>
          </wp:positionV>
          <wp:extent cx="353060" cy="654050"/>
          <wp:effectExtent l="0" t="0" r="0" b="0"/>
          <wp:wrapSquare wrapText="bothSides" distT="0" distB="0" distL="114300" distR="114300"/>
          <wp:docPr id="2" name="image1.png" descr="Immagine che contiene logo, Carattere, simbolo,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logo, Carattere, simbolo, Elementi grafici&#10;&#10;Descrizione generata automaticamente"/>
                  <pic:cNvPicPr preferRelativeResize="0"/>
                </pic:nvPicPr>
                <pic:blipFill>
                  <a:blip r:embed="rId2"/>
                  <a:srcRect/>
                  <a:stretch>
                    <a:fillRect/>
                  </a:stretch>
                </pic:blipFill>
                <pic:spPr>
                  <a:xfrm>
                    <a:off x="0" y="0"/>
                    <a:ext cx="353060" cy="654050"/>
                  </a:xfrm>
                  <a:prstGeom prst="rect">
                    <a:avLst/>
                  </a:prstGeom>
                  <a:ln/>
                </pic:spPr>
              </pic:pic>
            </a:graphicData>
          </a:graphic>
        </wp:anchor>
      </w:drawing>
    </w:r>
  </w:p>
  <w:p w14:paraId="06AF809A" w14:textId="77777777" w:rsidR="00D6217F" w:rsidRDefault="00000000">
    <w:pPr>
      <w:pBdr>
        <w:top w:val="nil"/>
        <w:left w:val="nil"/>
        <w:bottom w:val="nil"/>
        <w:right w:val="nil"/>
        <w:between w:val="nil"/>
      </w:pBdr>
      <w:tabs>
        <w:tab w:val="center" w:pos="4252"/>
        <w:tab w:val="right" w:pos="8504"/>
      </w:tabs>
      <w:spacing w:after="0" w:line="240" w:lineRule="auto"/>
      <w:rPr>
        <w:color w:val="000000"/>
      </w:rPr>
    </w:pPr>
    <w:r>
      <w:rPr>
        <w:noProof/>
      </w:rPr>
      <w:drawing>
        <wp:anchor distT="0" distB="0" distL="114300" distR="114300" simplePos="0" relativeHeight="251660288" behindDoc="0" locked="0" layoutInCell="1" hidden="0" allowOverlap="1" wp14:anchorId="0A5CA45F" wp14:editId="1F1A81D1">
          <wp:simplePos x="0" y="0"/>
          <wp:positionH relativeFrom="column">
            <wp:posOffset>5394960</wp:posOffset>
          </wp:positionH>
          <wp:positionV relativeFrom="paragraph">
            <wp:posOffset>128904</wp:posOffset>
          </wp:positionV>
          <wp:extent cx="1180465" cy="248285"/>
          <wp:effectExtent l="0" t="0" r="0" b="0"/>
          <wp:wrapSquare wrapText="bothSides" distT="0" distB="0" distL="114300" distR="11430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srcRect/>
                  <a:stretch>
                    <a:fillRect/>
                  </a:stretch>
                </pic:blipFill>
                <pic:spPr>
                  <a:xfrm>
                    <a:off x="0" y="0"/>
                    <a:ext cx="1180465" cy="248285"/>
                  </a:xfrm>
                  <a:prstGeom prst="rect">
                    <a:avLst/>
                  </a:prstGeom>
                  <a:ln/>
                </pic:spPr>
              </pic:pic>
            </a:graphicData>
          </a:graphic>
        </wp:anchor>
      </w:drawing>
    </w:r>
  </w:p>
  <w:p w14:paraId="15E559DB" w14:textId="77777777" w:rsidR="00D6217F" w:rsidRDefault="00000000">
    <w:pPr>
      <w:pBdr>
        <w:top w:val="nil"/>
        <w:left w:val="nil"/>
        <w:bottom w:val="nil"/>
        <w:right w:val="nil"/>
        <w:between w:val="nil"/>
      </w:pBdr>
      <w:tabs>
        <w:tab w:val="center" w:pos="4252"/>
        <w:tab w:val="right" w:pos="8504"/>
      </w:tabs>
      <w:spacing w:after="0" w:line="240" w:lineRule="auto"/>
      <w:jc w:val="center"/>
      <w:rPr>
        <w:rFonts w:ascii="Century Gothic" w:eastAsia="Century Gothic" w:hAnsi="Century Gothic" w:cs="Century Gothic"/>
        <w:color w:val="000000"/>
      </w:rPr>
    </w:pPr>
    <w:r>
      <w:rPr>
        <w:rFonts w:ascii="Century Gothic" w:eastAsia="Century Gothic" w:hAnsi="Century Gothic" w:cs="Century Gothic"/>
        <w:b/>
        <w:smallCaps/>
        <w:color w:val="5B9BD5"/>
        <w:sz w:val="32"/>
        <w:szCs w:val="32"/>
      </w:rPr>
      <w:t xml:space="preserve">              MODULE 1. UNITÉ 3. Auto-</w:t>
    </w:r>
    <w:proofErr w:type="spellStart"/>
    <w:r>
      <w:rPr>
        <w:rFonts w:ascii="Century Gothic" w:eastAsia="Century Gothic" w:hAnsi="Century Gothic" w:cs="Century Gothic"/>
        <w:b/>
        <w:smallCaps/>
        <w:color w:val="5B9BD5"/>
        <w:sz w:val="32"/>
        <w:szCs w:val="32"/>
      </w:rPr>
      <w:t>évaluation</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B2178"/>
    <w:multiLevelType w:val="multilevel"/>
    <w:tmpl w:val="403A3E36"/>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 w15:restartNumberingAfterBreak="0">
    <w:nsid w:val="141B73A2"/>
    <w:multiLevelType w:val="multilevel"/>
    <w:tmpl w:val="A13616C0"/>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 w15:restartNumberingAfterBreak="0">
    <w:nsid w:val="240A513D"/>
    <w:multiLevelType w:val="multilevel"/>
    <w:tmpl w:val="9BB856CE"/>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 w15:restartNumberingAfterBreak="0">
    <w:nsid w:val="26FC3914"/>
    <w:multiLevelType w:val="multilevel"/>
    <w:tmpl w:val="FF282ED0"/>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4" w15:restartNumberingAfterBreak="0">
    <w:nsid w:val="2BD41116"/>
    <w:multiLevelType w:val="multilevel"/>
    <w:tmpl w:val="683EA116"/>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 w15:restartNumberingAfterBreak="0">
    <w:nsid w:val="434905EF"/>
    <w:multiLevelType w:val="multilevel"/>
    <w:tmpl w:val="C8EA6D6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471232D9"/>
    <w:multiLevelType w:val="multilevel"/>
    <w:tmpl w:val="E0128C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EE7445B"/>
    <w:multiLevelType w:val="multilevel"/>
    <w:tmpl w:val="1F8A554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6DD84265"/>
    <w:multiLevelType w:val="multilevel"/>
    <w:tmpl w:val="E01E5A82"/>
    <w:lvl w:ilvl="0">
      <w:start w:val="1"/>
      <w:numFmt w:val="lowerLetter"/>
      <w:lvlText w:val="%1)"/>
      <w:lvlJc w:val="left"/>
      <w:pPr>
        <w:ind w:left="1080" w:hanging="360"/>
      </w:pPr>
      <w:rPr>
        <w:rFonts w:ascii="Century Gothic" w:eastAsia="Century Gothic" w:hAnsi="Century Gothic" w:cs="Century Gothic"/>
        <w:b w:val="0"/>
        <w:color w:val="000000"/>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1769349008">
    <w:abstractNumId w:val="5"/>
  </w:num>
  <w:num w:numId="2" w16cid:durableId="1683504743">
    <w:abstractNumId w:val="7"/>
  </w:num>
  <w:num w:numId="3" w16cid:durableId="1728382555">
    <w:abstractNumId w:val="1"/>
  </w:num>
  <w:num w:numId="4" w16cid:durableId="994917142">
    <w:abstractNumId w:val="4"/>
  </w:num>
  <w:num w:numId="5" w16cid:durableId="1858349559">
    <w:abstractNumId w:val="3"/>
  </w:num>
  <w:num w:numId="6" w16cid:durableId="1189634974">
    <w:abstractNumId w:val="2"/>
  </w:num>
  <w:num w:numId="7" w16cid:durableId="961225063">
    <w:abstractNumId w:val="6"/>
  </w:num>
  <w:num w:numId="8" w16cid:durableId="1601986519">
    <w:abstractNumId w:val="0"/>
  </w:num>
  <w:num w:numId="9" w16cid:durableId="10574338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217F"/>
    <w:rsid w:val="00206076"/>
    <w:rsid w:val="009D49D6"/>
    <w:rsid w:val="00C114FD"/>
    <w:rsid w:val="00D6217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365E17"/>
  <w15:docId w15:val="{F1303148-D2CD-40BD-9D0B-D50E922F4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pBdr>
        <w:top w:val="nil"/>
        <w:left w:val="nil"/>
        <w:bottom w:val="nil"/>
        <w:right w:val="nil"/>
        <w:between w:val="nil"/>
      </w:pBdr>
      <w:spacing w:before="480" w:after="120"/>
      <w:outlineLvl w:val="0"/>
    </w:pPr>
    <w:rPr>
      <w:b/>
      <w:color w:val="000000"/>
      <w:sz w:val="48"/>
      <w:szCs w:val="48"/>
    </w:rPr>
  </w:style>
  <w:style w:type="paragraph" w:styleId="Ttulo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color w:val="000000"/>
      <w:sz w:val="36"/>
      <w:szCs w:val="36"/>
    </w:rPr>
  </w:style>
  <w:style w:type="paragraph" w:styleId="Ttulo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color w:val="000000"/>
      <w:sz w:val="28"/>
      <w:szCs w:val="28"/>
    </w:rPr>
  </w:style>
  <w:style w:type="paragraph" w:styleId="Ttulo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color w:val="000000"/>
      <w:sz w:val="24"/>
      <w:szCs w:val="24"/>
    </w:rPr>
  </w:style>
  <w:style w:type="paragraph" w:styleId="Ttulo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color w:val="000000"/>
    </w:rPr>
  </w:style>
  <w:style w:type="paragraph" w:styleId="Ttulo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color w:val="00000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pBdr>
        <w:top w:val="nil"/>
        <w:left w:val="nil"/>
        <w:bottom w:val="nil"/>
        <w:right w:val="nil"/>
        <w:between w:val="nil"/>
      </w:pBdr>
      <w:spacing w:before="480" w:after="120"/>
    </w:pPr>
    <w:rPr>
      <w:b/>
      <w:color w:val="000000"/>
      <w:sz w:val="72"/>
      <w:szCs w:val="72"/>
    </w:rPr>
  </w:style>
  <w:style w:type="paragraph" w:styleId="Subttulo">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o86kisbwYhu1NnFcJBIRoEmbJg==">CgMxLjA4AHIhMUw3cURIVkNGUjRXMFBZNVFHbE9BbVUyaUpQcGoySVo0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360</Words>
  <Characters>1984</Characters>
  <Application>Microsoft Office Word</Application>
  <DocSecurity>0</DocSecurity>
  <Lines>16</Lines>
  <Paragraphs>4</Paragraphs>
  <ScaleCrop>false</ScaleCrop>
  <Company/>
  <LinksUpToDate>false</LinksUpToDate>
  <CharactersWithSpaces>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 Fornés Romero</dc:creator>
  <cp:keywords>, docId:CEB8EA3B011189B0A8BAF3A26D119B39</cp:keywords>
  <cp:lastModifiedBy>Gertrudis Fornes Romero</cp:lastModifiedBy>
  <cp:revision>2</cp:revision>
  <dcterms:created xsi:type="dcterms:W3CDTF">2024-06-20T10:57:00Z</dcterms:created>
  <dcterms:modified xsi:type="dcterms:W3CDTF">2024-06-20T10:57:00Z</dcterms:modified>
</cp:coreProperties>
</file>