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6F8A35" w14:textId="77777777" w:rsidR="0009749B" w:rsidRDefault="00000000">
      <w:pPr>
        <w:pStyle w:val="Ttulo1"/>
        <w:numPr>
          <w:ilvl w:val="0"/>
          <w:numId w:val="1"/>
        </w:numPr>
        <w:tabs>
          <w:tab w:val="left" w:pos="397"/>
        </w:tabs>
        <w:spacing w:before="0"/>
        <w:jc w:val="both"/>
        <w:rPr>
          <w:rFonts w:ascii="Tahoma" w:eastAsia="Tahoma" w:hAnsi="Tahoma" w:cs="Tahoma"/>
          <w:sz w:val="24"/>
          <w:szCs w:val="24"/>
        </w:rPr>
      </w:pPr>
      <w:r>
        <w:rPr>
          <w:rFonts w:ascii="Tahoma" w:eastAsia="Tahoma" w:hAnsi="Tahoma" w:cs="Tahoma"/>
          <w:sz w:val="24"/>
          <w:szCs w:val="24"/>
        </w:rPr>
        <w:t xml:space="preserve">Les </w:t>
      </w:r>
      <w:proofErr w:type="spellStart"/>
      <w:r>
        <w:rPr>
          <w:rFonts w:ascii="Tahoma" w:eastAsia="Tahoma" w:hAnsi="Tahoma" w:cs="Tahoma"/>
          <w:sz w:val="24"/>
          <w:szCs w:val="24"/>
        </w:rPr>
        <w:t>soins</w:t>
      </w:r>
      <w:proofErr w:type="spellEnd"/>
      <w:r>
        <w:rPr>
          <w:rFonts w:ascii="Tahoma" w:eastAsia="Tahoma" w:hAnsi="Tahoma" w:cs="Tahoma"/>
          <w:sz w:val="24"/>
          <w:szCs w:val="24"/>
        </w:rPr>
        <w:t xml:space="preserve"> </w:t>
      </w:r>
      <w:proofErr w:type="spellStart"/>
      <w:r>
        <w:rPr>
          <w:rFonts w:ascii="Tahoma" w:eastAsia="Tahoma" w:hAnsi="Tahoma" w:cs="Tahoma"/>
          <w:sz w:val="24"/>
          <w:szCs w:val="24"/>
        </w:rPr>
        <w:t>intégrés</w:t>
      </w:r>
      <w:proofErr w:type="spellEnd"/>
      <w:r>
        <w:rPr>
          <w:rFonts w:ascii="Tahoma" w:eastAsia="Tahoma" w:hAnsi="Tahoma" w:cs="Tahoma"/>
          <w:sz w:val="24"/>
          <w:szCs w:val="24"/>
        </w:rPr>
        <w:t xml:space="preserve"> </w:t>
      </w:r>
      <w:proofErr w:type="spellStart"/>
      <w:proofErr w:type="gramStart"/>
      <w:r>
        <w:rPr>
          <w:rFonts w:ascii="Tahoma" w:eastAsia="Tahoma" w:hAnsi="Tahoma" w:cs="Tahoma"/>
          <w:sz w:val="24"/>
          <w:szCs w:val="24"/>
        </w:rPr>
        <w:t>sont</w:t>
      </w:r>
      <w:proofErr w:type="spellEnd"/>
      <w:r>
        <w:rPr>
          <w:rFonts w:ascii="Tahoma" w:eastAsia="Tahoma" w:hAnsi="Tahoma" w:cs="Tahoma"/>
          <w:sz w:val="24"/>
          <w:szCs w:val="24"/>
        </w:rPr>
        <w:t xml:space="preserve"> :</w:t>
      </w:r>
      <w:proofErr w:type="gramEnd"/>
      <w:r>
        <w:rPr>
          <w:rFonts w:ascii="Tahoma" w:eastAsia="Tahoma" w:hAnsi="Tahoma" w:cs="Tahoma"/>
          <w:sz w:val="24"/>
          <w:szCs w:val="24"/>
        </w:rPr>
        <w:t xml:space="preserve"> </w:t>
      </w:r>
    </w:p>
    <w:p w14:paraId="4515C874" w14:textId="77777777" w:rsidR="0009749B" w:rsidRDefault="0009749B">
      <w:pPr>
        <w:jc w:val="both"/>
      </w:pPr>
    </w:p>
    <w:p w14:paraId="6FB7E2A1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line="278" w:lineRule="auto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FF0000"/>
          <w:sz w:val="24"/>
          <w:szCs w:val="24"/>
          <w:lang w:val="fr-FR"/>
        </w:rPr>
        <w:t>combinaison de structures, de processus, de méthodes et de techniques visant à répondre aux besoins spécifiques des patients, à leur expérience, à l'institution et à la communauté, dans le but d'unifier les concepts de "soins" et d'"assistance", en comblant la division traditionnelle existant entre les soins de santé et les soins sociaux.</w:t>
      </w:r>
    </w:p>
    <w:p w14:paraId="7C7E282E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line="278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Un type de soins où les intérêts des professionnels prévalent sur ceux des patients.</w:t>
      </w:r>
    </w:p>
    <w:p w14:paraId="0ED869EB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Se réfère aux soins traditionnels où le patient est considéré comme un sujet passif.</w:t>
      </w:r>
    </w:p>
    <w:p w14:paraId="1F6423EE" w14:textId="77777777" w:rsidR="0009749B" w:rsidRPr="00605F0F" w:rsidRDefault="0009749B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ind w:left="851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5FC326D8" w14:textId="77777777" w:rsidR="0009749B" w:rsidRPr="00605F0F" w:rsidRDefault="00000000">
      <w:pPr>
        <w:pStyle w:val="Ttulo1"/>
        <w:numPr>
          <w:ilvl w:val="0"/>
          <w:numId w:val="1"/>
        </w:numPr>
        <w:tabs>
          <w:tab w:val="left" w:pos="404"/>
        </w:tabs>
        <w:spacing w:before="0"/>
        <w:ind w:left="403" w:hanging="291"/>
        <w:jc w:val="both"/>
        <w:rPr>
          <w:rFonts w:ascii="Tahoma" w:eastAsia="Tahoma" w:hAnsi="Tahoma" w:cs="Tahoma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sz w:val="24"/>
          <w:szCs w:val="24"/>
          <w:lang w:val="fr-FR"/>
        </w:rPr>
        <w:t>Fournir des soins adéquats aux patients, conformément à l'approche des soins intégrés, implique :</w:t>
      </w:r>
    </w:p>
    <w:p w14:paraId="5CB60DF3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8"/>
        </w:tabs>
        <w:ind w:right="446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Des services de santé intégrés pour répondre aux besoins des personnes en matière de santé ; la prise en compte des déterminants généraux de la santé par le biais de politiques et d'actions </w:t>
      </w:r>
      <w:r w:rsidRPr="00605F0F">
        <w:rPr>
          <w:rFonts w:ascii="Tahoma" w:eastAsia="Tahoma" w:hAnsi="Tahoma" w:cs="Tahoma"/>
          <w:sz w:val="24"/>
          <w:szCs w:val="24"/>
          <w:lang w:val="fr-FR"/>
        </w:rPr>
        <w:t>multisectorielles.</w:t>
      </w:r>
    </w:p>
    <w:p w14:paraId="4F42092E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line="278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Donner aux individus, aux familles et aux communautés les moyens de prendre en charge leur propre santé.</w:t>
      </w:r>
    </w:p>
    <w:p w14:paraId="336704C0" w14:textId="77777777" w:rsidR="0009749B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ind w:right="110"/>
        <w:jc w:val="both"/>
        <w:rPr>
          <w:rFonts w:ascii="Tahoma" w:eastAsia="Tahoma" w:hAnsi="Tahoma" w:cs="Tahoma"/>
          <w:color w:val="000000"/>
          <w:sz w:val="24"/>
          <w:szCs w:val="24"/>
        </w:rPr>
      </w:pPr>
      <w:proofErr w:type="gramStart"/>
      <w:r>
        <w:rPr>
          <w:rFonts w:ascii="Tahoma" w:eastAsia="Tahoma" w:hAnsi="Tahoma" w:cs="Tahoma"/>
          <w:color w:val="FF0000"/>
          <w:sz w:val="24"/>
          <w:szCs w:val="24"/>
        </w:rPr>
        <w:t>A</w:t>
      </w:r>
      <w:proofErr w:type="gramEnd"/>
      <w:r>
        <w:rPr>
          <w:rFonts w:ascii="Tahoma" w:eastAsia="Tahoma" w:hAnsi="Tahoma" w:cs="Tahoma"/>
          <w:color w:val="FF0000"/>
          <w:sz w:val="24"/>
          <w:szCs w:val="24"/>
        </w:rPr>
        <w:t xml:space="preserve"> et B </w:t>
      </w:r>
      <w:proofErr w:type="spellStart"/>
      <w:r>
        <w:rPr>
          <w:rFonts w:ascii="Tahoma" w:eastAsia="Tahoma" w:hAnsi="Tahoma" w:cs="Tahoma"/>
          <w:color w:val="FF0000"/>
          <w:sz w:val="24"/>
          <w:szCs w:val="24"/>
        </w:rPr>
        <w:t>sont</w:t>
      </w:r>
      <w:proofErr w:type="spellEnd"/>
      <w:r>
        <w:rPr>
          <w:rFonts w:ascii="Tahoma" w:eastAsia="Tahoma" w:hAnsi="Tahoma" w:cs="Tahoma"/>
          <w:color w:val="FF0000"/>
          <w:sz w:val="24"/>
          <w:szCs w:val="24"/>
        </w:rPr>
        <w:t xml:space="preserve"> corrects</w:t>
      </w:r>
    </w:p>
    <w:p w14:paraId="122E07D4" w14:textId="77777777" w:rsidR="0009749B" w:rsidRDefault="0009749B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ind w:left="469" w:right="110"/>
        <w:jc w:val="both"/>
        <w:rPr>
          <w:rFonts w:ascii="Tahoma" w:eastAsia="Tahoma" w:hAnsi="Tahoma" w:cs="Tahoma"/>
          <w:color w:val="000000"/>
          <w:sz w:val="24"/>
          <w:szCs w:val="24"/>
        </w:rPr>
      </w:pPr>
    </w:p>
    <w:p w14:paraId="0AEF0DD6" w14:textId="77777777" w:rsidR="0009749B" w:rsidRDefault="00000000">
      <w:pPr>
        <w:pStyle w:val="Ttulo1"/>
        <w:numPr>
          <w:ilvl w:val="0"/>
          <w:numId w:val="1"/>
        </w:numPr>
        <w:tabs>
          <w:tab w:val="left" w:pos="404"/>
        </w:tabs>
        <w:spacing w:before="0"/>
        <w:ind w:left="403" w:hanging="291"/>
        <w:jc w:val="both"/>
        <w:rPr>
          <w:rFonts w:ascii="Tahoma" w:eastAsia="Tahoma" w:hAnsi="Tahoma" w:cs="Tahoma"/>
          <w:sz w:val="24"/>
          <w:szCs w:val="24"/>
        </w:rPr>
      </w:pPr>
      <w:r w:rsidRPr="00605F0F">
        <w:rPr>
          <w:rFonts w:ascii="Tahoma" w:eastAsia="Tahoma" w:hAnsi="Tahoma" w:cs="Tahoma"/>
          <w:sz w:val="24"/>
          <w:szCs w:val="24"/>
          <w:lang w:val="fr-FR"/>
        </w:rPr>
        <w:t xml:space="preserve">La mission des soins intégrés est précisément de créer un pont entre les soins informels et professionnels. </w:t>
      </w:r>
      <w:r>
        <w:rPr>
          <w:rFonts w:ascii="Tahoma" w:eastAsia="Tahoma" w:hAnsi="Tahoma" w:cs="Tahoma"/>
          <w:sz w:val="24"/>
          <w:szCs w:val="24"/>
        </w:rPr>
        <w:t xml:space="preserve">Cela </w:t>
      </w:r>
      <w:proofErr w:type="spellStart"/>
      <w:r>
        <w:rPr>
          <w:rFonts w:ascii="Tahoma" w:eastAsia="Tahoma" w:hAnsi="Tahoma" w:cs="Tahoma"/>
          <w:sz w:val="24"/>
          <w:szCs w:val="24"/>
        </w:rPr>
        <w:t>implique</w:t>
      </w:r>
      <w:proofErr w:type="spellEnd"/>
    </w:p>
    <w:p w14:paraId="0FF2789A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ind w:right="747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Une alliance entre les professionnels et la communauté</w:t>
      </w:r>
    </w:p>
    <w:p w14:paraId="640965B7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45"/>
        </w:tabs>
        <w:ind w:right="279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FF0000"/>
          <w:sz w:val="24"/>
          <w:szCs w:val="24"/>
          <w:lang w:val="fr-FR"/>
        </w:rPr>
        <w:t>Une alliance entre les patients, les professionnels, la famille du patient et la communauté</w:t>
      </w:r>
    </w:p>
    <w:p w14:paraId="578FF90B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Une alliance entre les professionnels et la famille du patient</w:t>
      </w:r>
    </w:p>
    <w:p w14:paraId="4951F37C" w14:textId="77777777" w:rsidR="0009749B" w:rsidRPr="00605F0F" w:rsidRDefault="0009749B">
      <w:pPr>
        <w:tabs>
          <w:tab w:val="left" w:pos="397"/>
        </w:tabs>
        <w:ind w:left="567"/>
        <w:jc w:val="both"/>
        <w:rPr>
          <w:sz w:val="24"/>
          <w:szCs w:val="24"/>
          <w:lang w:val="fr-FR"/>
        </w:rPr>
      </w:pPr>
    </w:p>
    <w:p w14:paraId="67F6C9BD" w14:textId="77777777" w:rsidR="0009749B" w:rsidRPr="00605F0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2F5496"/>
          <w:sz w:val="24"/>
          <w:szCs w:val="24"/>
          <w:lang w:val="fr-FR"/>
        </w:rPr>
        <w:t>Lequel des éléments suivants ne correspond pas à une caractéristique des soins intégrés ?</w:t>
      </w:r>
    </w:p>
    <w:p w14:paraId="01A654DF" w14:textId="77777777" w:rsidR="0009749B" w:rsidRPr="00605F0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Soins continus aux individus, aux familles et aux communautés tout au long de la vie</w:t>
      </w:r>
    </w:p>
    <w:p w14:paraId="65129021" w14:textId="77777777" w:rsidR="0009749B" w:rsidRPr="00605F0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Des soins coordonnés et centrés sur la personne, intégrés en fonction des besoins et des aspirations</w:t>
      </w:r>
    </w:p>
    <w:p w14:paraId="143026C5" w14:textId="77777777" w:rsidR="0009749B" w:rsidRPr="00605F0F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FF0000"/>
          <w:sz w:val="24"/>
          <w:szCs w:val="24"/>
          <w:lang w:val="fr-FR"/>
        </w:rPr>
        <w:t>Mettre l'accent sur les soins individuels afin d'améliorer la santé et le bien-être des personnes</w:t>
      </w:r>
    </w:p>
    <w:p w14:paraId="164C1E46" w14:textId="77777777" w:rsidR="0009749B" w:rsidRPr="00605F0F" w:rsidRDefault="0009749B">
      <w:pPr>
        <w:jc w:val="both"/>
        <w:rPr>
          <w:color w:val="FF0000"/>
          <w:sz w:val="24"/>
          <w:szCs w:val="24"/>
          <w:lang w:val="fr-FR"/>
        </w:rPr>
      </w:pPr>
    </w:p>
    <w:p w14:paraId="01321A95" w14:textId="77777777" w:rsidR="0009749B" w:rsidRPr="00605F0F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2F5496"/>
          <w:sz w:val="24"/>
          <w:szCs w:val="24"/>
          <w:lang w:val="fr-FR"/>
        </w:rPr>
        <w:t xml:space="preserve">Il est nécessaire de mettre en place des soins intégrés et de se concentrer sur les besoins et les exigences des patients atteints de la maladie de Parkinson : </w:t>
      </w:r>
    </w:p>
    <w:p w14:paraId="7A326D9D" w14:textId="77777777" w:rsidR="0009749B" w:rsidRPr="00605F0F" w:rsidRDefault="0009749B">
      <w:pPr>
        <w:pBdr>
          <w:top w:val="nil"/>
          <w:left w:val="nil"/>
          <w:bottom w:val="nil"/>
          <w:right w:val="nil"/>
          <w:between w:val="nil"/>
        </w:pBdr>
        <w:spacing w:before="1"/>
        <w:ind w:left="502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</w:p>
    <w:p w14:paraId="7BA415AC" w14:textId="77777777" w:rsidR="0009749B" w:rsidRPr="00605F0F" w:rsidRDefault="00000000">
      <w:pPr>
        <w:pBdr>
          <w:top w:val="nil"/>
          <w:left w:val="nil"/>
          <w:bottom w:val="nil"/>
          <w:right w:val="nil"/>
          <w:between w:val="nil"/>
        </w:pBdr>
        <w:spacing w:before="1"/>
        <w:ind w:left="502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a) Plus d'autogestion, une meilleure collaboration interdisciplinaire entre les différents professionnels de la santé.</w:t>
      </w:r>
    </w:p>
    <w:p w14:paraId="60E0539B" w14:textId="77777777" w:rsidR="0009749B" w:rsidRPr="00605F0F" w:rsidRDefault="00000000">
      <w:pPr>
        <w:pBdr>
          <w:top w:val="nil"/>
          <w:left w:val="nil"/>
          <w:bottom w:val="nil"/>
          <w:right w:val="nil"/>
          <w:between w:val="nil"/>
        </w:pBdr>
        <w:spacing w:before="1"/>
        <w:ind w:left="502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b) Plus de temps pour discuter de l'avenir et des scénarios possibles ; un professionnel de la santé jouant le rôle de point d'accès unique.</w:t>
      </w:r>
    </w:p>
    <w:p w14:paraId="18F43F59" w14:textId="77777777" w:rsidR="0009749B" w:rsidRPr="00605F0F" w:rsidRDefault="00000000">
      <w:pPr>
        <w:pBdr>
          <w:top w:val="nil"/>
          <w:left w:val="nil"/>
          <w:bottom w:val="nil"/>
          <w:right w:val="nil"/>
          <w:between w:val="nil"/>
        </w:pBdr>
        <w:spacing w:before="1"/>
        <w:ind w:left="502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FF0000"/>
          <w:sz w:val="24"/>
          <w:szCs w:val="24"/>
          <w:lang w:val="fr-FR"/>
        </w:rPr>
        <w:t>c) A et B sont corrects</w:t>
      </w:r>
    </w:p>
    <w:p w14:paraId="6D2EEB3B" w14:textId="77777777" w:rsidR="0009749B" w:rsidRPr="00605F0F" w:rsidRDefault="0009749B">
      <w:pPr>
        <w:pStyle w:val="Ttulo1"/>
        <w:tabs>
          <w:tab w:val="left" w:pos="404"/>
        </w:tabs>
        <w:spacing w:before="0"/>
        <w:ind w:left="113" w:right="1216"/>
        <w:jc w:val="both"/>
        <w:rPr>
          <w:rFonts w:ascii="Tahoma" w:eastAsia="Tahoma" w:hAnsi="Tahoma" w:cs="Tahoma"/>
          <w:sz w:val="24"/>
          <w:szCs w:val="24"/>
          <w:lang w:val="fr-FR"/>
        </w:rPr>
      </w:pPr>
    </w:p>
    <w:p w14:paraId="3C033596" w14:textId="77777777" w:rsidR="0009749B" w:rsidRPr="00605F0F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ascii="Tahoma" w:eastAsia="Tahoma" w:hAnsi="Tahoma" w:cs="Tahoma"/>
          <w:color w:val="2F5496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2F5496"/>
          <w:sz w:val="24"/>
          <w:szCs w:val="24"/>
          <w:lang w:val="fr-FR"/>
        </w:rPr>
        <w:t>Quels sont les cinq éléments clés de la prise en charge intégrée de la population atteinte de la maladie de Parkinson ?</w:t>
      </w:r>
    </w:p>
    <w:p w14:paraId="622B9EC5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line="278" w:lineRule="auto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FF0000"/>
          <w:sz w:val="24"/>
          <w:szCs w:val="24"/>
          <w:lang w:val="fr-FR"/>
        </w:rPr>
        <w:t>Coordination des soins, navigation des patients, fourniture d'informations, détection précoce des signes et des symptômes par le biais d'un suivi proactif et d'un suivi des processus.</w:t>
      </w:r>
    </w:p>
    <w:p w14:paraId="3E76DF42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line="278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Il n'y a que trois éléments clés : La coordination des soins, la navigation des patients et la fourniture d'informations</w:t>
      </w:r>
    </w:p>
    <w:p w14:paraId="715FABD5" w14:textId="77777777" w:rsidR="0009749B" w:rsidRPr="00605F0F" w:rsidRDefault="0000000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lastRenderedPageBreak/>
        <w:t>Soins fragmentés, navigation des patients, fourniture d'informations, détection précoce des signes et des symptômes par le biais d'un suivi proactif et d'un suivi des processus.</w:t>
      </w:r>
    </w:p>
    <w:p w14:paraId="7E5007CE" w14:textId="77777777" w:rsidR="0009749B" w:rsidRPr="00605F0F" w:rsidRDefault="0009749B">
      <w:pPr>
        <w:jc w:val="both"/>
        <w:rPr>
          <w:rFonts w:ascii="Tahoma" w:eastAsia="Tahoma" w:hAnsi="Tahoma" w:cs="Tahoma"/>
          <w:sz w:val="24"/>
          <w:szCs w:val="24"/>
          <w:lang w:val="fr-FR"/>
        </w:rPr>
      </w:pPr>
    </w:p>
    <w:p w14:paraId="5F486CBC" w14:textId="77777777" w:rsidR="0009749B" w:rsidRPr="00605F0F" w:rsidRDefault="00000000">
      <w:pPr>
        <w:pStyle w:val="Ttulo1"/>
        <w:tabs>
          <w:tab w:val="left" w:pos="404"/>
        </w:tabs>
        <w:spacing w:before="0"/>
        <w:ind w:left="142"/>
        <w:jc w:val="both"/>
        <w:rPr>
          <w:rFonts w:ascii="Tahoma" w:eastAsia="Tahoma" w:hAnsi="Tahoma" w:cs="Tahoma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sz w:val="24"/>
          <w:szCs w:val="24"/>
          <w:lang w:val="fr-FR"/>
        </w:rPr>
        <w:t>7) La promotion de l'autonomie du patient est un aspect essentiel des soins intégrés qui implique :</w:t>
      </w:r>
    </w:p>
    <w:p w14:paraId="78804EB9" w14:textId="77777777" w:rsidR="0009749B" w:rsidRPr="00605F0F" w:rsidRDefault="0009749B">
      <w:pPr>
        <w:jc w:val="both"/>
        <w:rPr>
          <w:lang w:val="fr-FR"/>
        </w:rPr>
      </w:pPr>
    </w:p>
    <w:p w14:paraId="6D58F4A8" w14:textId="77777777" w:rsidR="0009749B" w:rsidRPr="00605F0F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before="1" w:line="278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sz w:val="24"/>
          <w:szCs w:val="24"/>
          <w:lang w:val="fr-FR"/>
        </w:rPr>
        <w:t>L'autodétermination, qui consiste à prendre des décisions ;</w:t>
      </w:r>
    </w:p>
    <w:p w14:paraId="08AECF24" w14:textId="77777777" w:rsidR="0009749B" w:rsidRPr="00605F0F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before="1" w:line="278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000000"/>
          <w:lang w:val="fr-FR"/>
        </w:rPr>
        <w:t>La liberté, c'est avoir des alternatives viables</w:t>
      </w:r>
    </w:p>
    <w:p w14:paraId="354D402A" w14:textId="77777777" w:rsidR="0009749B" w:rsidRPr="00605F0F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before="1" w:line="278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FF0000"/>
          <w:sz w:val="24"/>
          <w:szCs w:val="24"/>
          <w:lang w:val="fr-FR"/>
        </w:rPr>
        <w:t>Les points A et B sont corrects.</w:t>
      </w:r>
    </w:p>
    <w:p w14:paraId="6FA36BEA" w14:textId="77777777" w:rsidR="0009749B" w:rsidRPr="00605F0F" w:rsidRDefault="0009749B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6B6FD5FC" w14:textId="77777777" w:rsidR="0009749B" w:rsidRPr="00605F0F" w:rsidRDefault="00000000">
      <w:pPr>
        <w:pStyle w:val="Ttulo1"/>
        <w:tabs>
          <w:tab w:val="left" w:pos="404"/>
        </w:tabs>
        <w:spacing w:before="0"/>
        <w:ind w:left="142"/>
        <w:jc w:val="both"/>
        <w:rPr>
          <w:rFonts w:ascii="Tahoma" w:eastAsia="Tahoma" w:hAnsi="Tahoma" w:cs="Tahoma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sz w:val="24"/>
          <w:szCs w:val="24"/>
          <w:lang w:val="fr-FR"/>
        </w:rPr>
        <w:t>8) Le respect de la vie privée est l'un des éléments que nous essayons de poursuivre et de sauvegarder au sein du système de soins de santé :</w:t>
      </w:r>
    </w:p>
    <w:p w14:paraId="3C7106A1" w14:textId="77777777" w:rsidR="0009749B" w:rsidRPr="00605F0F" w:rsidRDefault="0009749B">
      <w:pPr>
        <w:jc w:val="both"/>
        <w:rPr>
          <w:lang w:val="fr-FR"/>
        </w:rPr>
      </w:pPr>
    </w:p>
    <w:p w14:paraId="57181F7C" w14:textId="77777777" w:rsidR="0009749B" w:rsidRPr="00605F0F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spacing w:before="1"/>
        <w:ind w:right="212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color w:val="FF0000"/>
          <w:sz w:val="24"/>
          <w:szCs w:val="24"/>
          <w:lang w:val="fr-FR"/>
        </w:rPr>
        <w:t>Respecter l'espace personnel (vie privée physique), les données personnelles (vie privée informationnelle), les choix personnels, y compris les affiliations culturelles et religieuses (vie privée décisionnelle), et les relations personnelles avec les membres de la famille et d'autres proches (vie privée associative).</w:t>
      </w:r>
    </w:p>
    <w:p w14:paraId="537CBF72" w14:textId="77777777" w:rsidR="0009749B" w:rsidRPr="00605F0F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ind w:right="212"/>
        <w:jc w:val="both"/>
        <w:rPr>
          <w:rFonts w:ascii="Tahoma" w:eastAsia="Tahoma" w:hAnsi="Tahoma" w:cs="Tahoma"/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sz w:val="24"/>
          <w:szCs w:val="24"/>
          <w:lang w:val="fr-FR"/>
        </w:rPr>
        <w:t>Respecter uniquement l'espace personnel (vie privée physique) ; les données personnelles (vie privée informationnelle)</w:t>
      </w:r>
    </w:p>
    <w:p w14:paraId="73C96BBA" w14:textId="77777777" w:rsidR="0009749B" w:rsidRPr="00605F0F" w:rsidRDefault="00000000">
      <w:pPr>
        <w:numPr>
          <w:ilvl w:val="1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ind w:right="212"/>
        <w:jc w:val="both"/>
        <w:rPr>
          <w:sz w:val="24"/>
          <w:szCs w:val="24"/>
          <w:lang w:val="fr-FR"/>
        </w:rPr>
      </w:pPr>
      <w:r w:rsidRPr="00605F0F">
        <w:rPr>
          <w:rFonts w:ascii="Tahoma" w:eastAsia="Tahoma" w:hAnsi="Tahoma" w:cs="Tahoma"/>
          <w:sz w:val="24"/>
          <w:szCs w:val="24"/>
          <w:lang w:val="fr-FR"/>
        </w:rPr>
        <w:t>Respecter l'espace personnel (vie privée physique) ; les données personnelles (vie privée informationnelle) ; les choix personnels, y compris les affiliations culturelles et religieuses (vie privée décisionnelle).</w:t>
      </w:r>
    </w:p>
    <w:p w14:paraId="1136AD51" w14:textId="77777777" w:rsidR="0009749B" w:rsidRPr="00605F0F" w:rsidRDefault="0009749B">
      <w:pPr>
        <w:pBdr>
          <w:top w:val="nil"/>
          <w:left w:val="nil"/>
          <w:bottom w:val="nil"/>
          <w:right w:val="nil"/>
          <w:between w:val="nil"/>
        </w:pBdr>
        <w:tabs>
          <w:tab w:val="left" w:pos="397"/>
        </w:tabs>
        <w:ind w:left="1440" w:right="212"/>
        <w:jc w:val="both"/>
        <w:rPr>
          <w:rFonts w:ascii="Tahoma" w:eastAsia="Tahoma" w:hAnsi="Tahoma" w:cs="Tahoma"/>
          <w:sz w:val="24"/>
          <w:szCs w:val="24"/>
          <w:lang w:val="fr-FR"/>
        </w:rPr>
      </w:pPr>
    </w:p>
    <w:p w14:paraId="79A3C1E2" w14:textId="77777777" w:rsidR="0009749B" w:rsidRPr="00605F0F" w:rsidRDefault="0009749B">
      <w:pPr>
        <w:shd w:val="clear" w:color="auto" w:fill="FFFFFF"/>
        <w:ind w:right="429"/>
        <w:jc w:val="both"/>
        <w:rPr>
          <w:rFonts w:ascii="Tahoma" w:eastAsia="Tahoma" w:hAnsi="Tahoma" w:cs="Tahoma"/>
          <w:sz w:val="24"/>
          <w:szCs w:val="24"/>
          <w:lang w:val="fr-FR"/>
        </w:rPr>
      </w:pPr>
    </w:p>
    <w:p w14:paraId="1A51E38E" w14:textId="77777777" w:rsidR="0009749B" w:rsidRPr="00605F0F" w:rsidRDefault="0009749B">
      <w:pPr>
        <w:jc w:val="both"/>
        <w:rPr>
          <w:rFonts w:ascii="Tahoma" w:eastAsia="Tahoma" w:hAnsi="Tahoma" w:cs="Tahoma"/>
          <w:sz w:val="24"/>
          <w:szCs w:val="24"/>
          <w:lang w:val="fr-FR"/>
        </w:rPr>
      </w:pPr>
    </w:p>
    <w:sectPr w:rsidR="0009749B" w:rsidRPr="00605F0F">
      <w:headerReference w:type="default" r:id="rId8"/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DAA307" w14:textId="77777777" w:rsidR="0079715F" w:rsidRDefault="0079715F">
      <w:r>
        <w:separator/>
      </w:r>
    </w:p>
  </w:endnote>
  <w:endnote w:type="continuationSeparator" w:id="0">
    <w:p w14:paraId="5CD0965C" w14:textId="77777777" w:rsidR="0079715F" w:rsidRDefault="007971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09532687-D71A-4472-8AB6-7C531D24CFB7}"/>
    <w:embedBold r:id="rId2" w:fontKey="{D5FAABDA-52D7-4D91-82B8-4FCF0737F40C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3" w:fontKey="{FDCFFB3A-2356-4392-976D-58B7C6014BD9}"/>
    <w:embedBold r:id="rId4" w:fontKey="{5F272606-6DB8-4491-9CA7-E5AE735310E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89BC12B8-64B9-4AA1-9203-8C2024024F98}"/>
    <w:embedBold r:id="rId6" w:fontKey="{4EAF5FD9-A8E0-4829-9FAC-22C2E577099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C211FE30-2E02-4658-9C50-A22A831FC76A}"/>
    <w:embedItalic r:id="rId8" w:fontKey="{159D795B-C263-4C78-95D6-AA993E1196E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0EDC70C9-DC4F-4D16-96A0-D744F230A27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0A05AA" w14:textId="77777777" w:rsidR="0079715F" w:rsidRDefault="0079715F">
      <w:r>
        <w:separator/>
      </w:r>
    </w:p>
  </w:footnote>
  <w:footnote w:type="continuationSeparator" w:id="0">
    <w:p w14:paraId="59DD36B0" w14:textId="77777777" w:rsidR="0079715F" w:rsidRDefault="007971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BBCCF7" w14:textId="77777777" w:rsidR="0009749B" w:rsidRDefault="00000000">
    <w:pPr>
      <w:pBdr>
        <w:top w:val="nil"/>
        <w:left w:val="nil"/>
        <w:bottom w:val="nil"/>
        <w:right w:val="nil"/>
        <w:between w:val="nil"/>
      </w:pBdr>
      <w:shd w:val="clear" w:color="auto" w:fill="70AD47"/>
      <w:tabs>
        <w:tab w:val="center" w:pos="4252"/>
        <w:tab w:val="right" w:pos="8504"/>
      </w:tabs>
      <w:rPr>
        <w:color w:val="000000"/>
      </w:rPr>
    </w:pPr>
    <w:r>
      <w:rPr>
        <w:rFonts w:ascii="Calibri" w:eastAsia="Calibri" w:hAnsi="Calibri" w:cs="Calibri"/>
        <w:b/>
        <w:noProof/>
        <w:color w:val="4472C4"/>
        <w:sz w:val="32"/>
        <w:szCs w:val="32"/>
      </w:rPr>
      <w:drawing>
        <wp:inline distT="0" distB="0" distL="0" distR="0" wp14:anchorId="0E8F1575" wp14:editId="2236E214">
          <wp:extent cx="429895" cy="795020"/>
          <wp:effectExtent l="0" t="0" r="0" b="0"/>
          <wp:docPr id="1" name="image1.png" descr="Logo, ic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, ic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29895" cy="7950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  <w:b/>
        <w:color w:val="4472C4"/>
        <w:sz w:val="32"/>
        <w:szCs w:val="32"/>
      </w:rPr>
      <w:t xml:space="preserve">                         MODULE 3. </w:t>
    </w:r>
    <w:proofErr w:type="spellStart"/>
    <w:r>
      <w:rPr>
        <w:rFonts w:ascii="Calibri" w:eastAsia="Calibri" w:hAnsi="Calibri" w:cs="Calibri"/>
        <w:b/>
        <w:color w:val="4472C4"/>
        <w:sz w:val="32"/>
        <w:szCs w:val="32"/>
      </w:rPr>
      <w:t>Unité</w:t>
    </w:r>
    <w:proofErr w:type="spellEnd"/>
    <w:r>
      <w:rPr>
        <w:rFonts w:ascii="Calibri" w:eastAsia="Calibri" w:hAnsi="Calibri" w:cs="Calibri"/>
        <w:b/>
        <w:color w:val="4472C4"/>
        <w:sz w:val="32"/>
        <w:szCs w:val="32"/>
      </w:rPr>
      <w:t xml:space="preserve"> 1. Auto-</w:t>
    </w:r>
    <w:proofErr w:type="spellStart"/>
    <w:r>
      <w:rPr>
        <w:rFonts w:ascii="Calibri" w:eastAsia="Calibri" w:hAnsi="Calibri" w:cs="Calibri"/>
        <w:b/>
        <w:color w:val="4472C4"/>
        <w:sz w:val="32"/>
        <w:szCs w:val="32"/>
      </w:rPr>
      <w:t>évaluation</w:t>
    </w:r>
    <w:proofErr w:type="spellEnd"/>
    <w:r>
      <w:rPr>
        <w:rFonts w:ascii="Calibri" w:eastAsia="Calibri" w:hAnsi="Calibri" w:cs="Calibri"/>
        <w:b/>
        <w:color w:val="4472C4"/>
        <w:sz w:val="32"/>
        <w:szCs w:val="32"/>
      </w:rPr>
      <w:t xml:space="preserve"> </w:t>
    </w:r>
    <w:r>
      <w:rPr>
        <w:rFonts w:ascii="Calibri" w:eastAsia="Calibri" w:hAnsi="Calibri" w:cs="Calibri"/>
        <w:b/>
        <w:noProof/>
        <w:color w:val="4472C4"/>
        <w:sz w:val="32"/>
        <w:szCs w:val="32"/>
      </w:rPr>
      <w:drawing>
        <wp:inline distT="0" distB="0" distL="0" distR="0" wp14:anchorId="2E8BD210" wp14:editId="45067D83">
          <wp:extent cx="1100198" cy="230810"/>
          <wp:effectExtent l="0" t="0" r="0" b="0"/>
          <wp:docPr id="2" name="image2.png" descr="Tex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00198" cy="2308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29B31D16" w14:textId="77777777" w:rsidR="0009749B" w:rsidRDefault="0009749B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44DCD"/>
    <w:multiLevelType w:val="multilevel"/>
    <w:tmpl w:val="EAC2D5E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  <w:rPr>
        <w:rFonts w:ascii="Tahoma" w:eastAsia="Tahoma" w:hAnsi="Tahoma" w:cs="Tahoma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750864"/>
    <w:multiLevelType w:val="multilevel"/>
    <w:tmpl w:val="16FAEF54"/>
    <w:lvl w:ilvl="0">
      <w:start w:val="1"/>
      <w:numFmt w:val="lowerLetter"/>
      <w:lvlText w:val="%1)"/>
      <w:lvlJc w:val="left"/>
      <w:pPr>
        <w:ind w:left="911" w:hanging="360"/>
      </w:pPr>
    </w:lvl>
    <w:lvl w:ilvl="1">
      <w:start w:val="1"/>
      <w:numFmt w:val="lowerLetter"/>
      <w:lvlText w:val="%2."/>
      <w:lvlJc w:val="left"/>
      <w:pPr>
        <w:ind w:left="1631" w:hanging="360"/>
      </w:pPr>
    </w:lvl>
    <w:lvl w:ilvl="2">
      <w:start w:val="1"/>
      <w:numFmt w:val="lowerRoman"/>
      <w:lvlText w:val="%3."/>
      <w:lvlJc w:val="right"/>
      <w:pPr>
        <w:ind w:left="2351" w:hanging="180"/>
      </w:pPr>
    </w:lvl>
    <w:lvl w:ilvl="3">
      <w:start w:val="1"/>
      <w:numFmt w:val="decimal"/>
      <w:lvlText w:val="%4."/>
      <w:lvlJc w:val="left"/>
      <w:pPr>
        <w:ind w:left="3071" w:hanging="360"/>
      </w:pPr>
    </w:lvl>
    <w:lvl w:ilvl="4">
      <w:start w:val="1"/>
      <w:numFmt w:val="lowerLetter"/>
      <w:lvlText w:val="%5."/>
      <w:lvlJc w:val="left"/>
      <w:pPr>
        <w:ind w:left="3791" w:hanging="360"/>
      </w:pPr>
    </w:lvl>
    <w:lvl w:ilvl="5">
      <w:start w:val="1"/>
      <w:numFmt w:val="lowerRoman"/>
      <w:lvlText w:val="%6."/>
      <w:lvlJc w:val="right"/>
      <w:pPr>
        <w:ind w:left="4511" w:hanging="180"/>
      </w:pPr>
    </w:lvl>
    <w:lvl w:ilvl="6">
      <w:start w:val="1"/>
      <w:numFmt w:val="decimal"/>
      <w:lvlText w:val="%7."/>
      <w:lvlJc w:val="left"/>
      <w:pPr>
        <w:ind w:left="5231" w:hanging="360"/>
      </w:pPr>
    </w:lvl>
    <w:lvl w:ilvl="7">
      <w:start w:val="1"/>
      <w:numFmt w:val="lowerLetter"/>
      <w:lvlText w:val="%8."/>
      <w:lvlJc w:val="left"/>
      <w:pPr>
        <w:ind w:left="5951" w:hanging="360"/>
      </w:pPr>
    </w:lvl>
    <w:lvl w:ilvl="8">
      <w:start w:val="1"/>
      <w:numFmt w:val="lowerRoman"/>
      <w:lvlText w:val="%9."/>
      <w:lvlJc w:val="right"/>
      <w:pPr>
        <w:ind w:left="6671" w:hanging="180"/>
      </w:pPr>
    </w:lvl>
  </w:abstractNum>
  <w:abstractNum w:abstractNumId="2" w15:restartNumberingAfterBreak="0">
    <w:nsid w:val="48C15E5F"/>
    <w:multiLevelType w:val="multilevel"/>
    <w:tmpl w:val="39ACEF22"/>
    <w:lvl w:ilvl="0">
      <w:start w:val="1"/>
      <w:numFmt w:val="decimal"/>
      <w:lvlText w:val="%1)"/>
      <w:lvlJc w:val="left"/>
      <w:pPr>
        <w:ind w:left="426" w:hanging="284"/>
      </w:pPr>
      <w:rPr>
        <w:rFonts w:ascii="Trebuchet MS" w:eastAsia="Trebuchet MS" w:hAnsi="Trebuchet MS" w:cs="Trebuchet MS"/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851" w:hanging="284"/>
      </w:pPr>
    </w:lvl>
    <w:lvl w:ilvl="2">
      <w:numFmt w:val="bullet"/>
      <w:lvlText w:val="•"/>
      <w:lvlJc w:val="left"/>
      <w:pPr>
        <w:ind w:left="2314" w:hanging="284"/>
      </w:pPr>
    </w:lvl>
    <w:lvl w:ilvl="3">
      <w:numFmt w:val="bullet"/>
      <w:lvlText w:val="•"/>
      <w:lvlJc w:val="left"/>
      <w:pPr>
        <w:ind w:left="3257" w:hanging="284"/>
      </w:pPr>
    </w:lvl>
    <w:lvl w:ilvl="4">
      <w:numFmt w:val="bullet"/>
      <w:lvlText w:val="•"/>
      <w:lvlJc w:val="left"/>
      <w:pPr>
        <w:ind w:left="4199" w:hanging="284"/>
      </w:pPr>
    </w:lvl>
    <w:lvl w:ilvl="5">
      <w:numFmt w:val="bullet"/>
      <w:lvlText w:val="•"/>
      <w:lvlJc w:val="left"/>
      <w:pPr>
        <w:ind w:left="5142" w:hanging="283"/>
      </w:pPr>
    </w:lvl>
    <w:lvl w:ilvl="6">
      <w:numFmt w:val="bullet"/>
      <w:lvlText w:val="•"/>
      <w:lvlJc w:val="left"/>
      <w:pPr>
        <w:ind w:left="6084" w:hanging="284"/>
      </w:pPr>
    </w:lvl>
    <w:lvl w:ilvl="7">
      <w:numFmt w:val="bullet"/>
      <w:lvlText w:val="•"/>
      <w:lvlJc w:val="left"/>
      <w:pPr>
        <w:ind w:left="7026" w:hanging="284"/>
      </w:pPr>
    </w:lvl>
    <w:lvl w:ilvl="8">
      <w:numFmt w:val="bullet"/>
      <w:lvlText w:val="•"/>
      <w:lvlJc w:val="left"/>
      <w:pPr>
        <w:ind w:left="7969" w:hanging="284"/>
      </w:pPr>
    </w:lvl>
  </w:abstractNum>
  <w:abstractNum w:abstractNumId="3" w15:restartNumberingAfterBreak="0">
    <w:nsid w:val="5A274256"/>
    <w:multiLevelType w:val="multilevel"/>
    <w:tmpl w:val="30AA613E"/>
    <w:lvl w:ilvl="0">
      <w:start w:val="5"/>
      <w:numFmt w:val="decimal"/>
      <w:lvlText w:val="%1)"/>
      <w:lvlJc w:val="left"/>
      <w:pPr>
        <w:ind w:left="502" w:hanging="360"/>
      </w:p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num w:numId="1" w16cid:durableId="1221289564">
    <w:abstractNumId w:val="2"/>
  </w:num>
  <w:num w:numId="2" w16cid:durableId="1256205952">
    <w:abstractNumId w:val="1"/>
  </w:num>
  <w:num w:numId="3" w16cid:durableId="1584685329">
    <w:abstractNumId w:val="3"/>
  </w:num>
  <w:num w:numId="4" w16cid:durableId="15690686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49B"/>
    <w:rsid w:val="0009749B"/>
    <w:rsid w:val="00605F0F"/>
    <w:rsid w:val="0079715F"/>
    <w:rsid w:val="009D4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A0E9B6"/>
  <w15:docId w15:val="{F1303148-D2CD-40BD-9D0B-D50E922F4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rebuchet MS" w:eastAsia="Trebuchet MS" w:hAnsi="Trebuchet MS" w:cs="Trebuchet MS"/>
        <w:sz w:val="22"/>
        <w:szCs w:val="22"/>
        <w:lang w:val="en-GB" w:eastAsia="es-E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240"/>
      <w:outlineLvl w:val="0"/>
    </w:pPr>
    <w:rPr>
      <w:rFonts w:ascii="Calibri" w:eastAsia="Calibri" w:hAnsi="Calibri" w:cs="Calibri"/>
      <w:color w:val="2F5496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spacing w:line="289" w:lineRule="auto"/>
      <w:ind w:left="192"/>
      <w:jc w:val="both"/>
      <w:outlineLvl w:val="1"/>
    </w:pPr>
    <w:rPr>
      <w:rFonts w:ascii="Tahoma" w:eastAsia="Tahoma" w:hAnsi="Tahoma" w:cs="Tahoma"/>
      <w:b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eQbIx/xn0ypmmdhPvbdZkb5/kw==">CgMxLjA4AHIhMThkY3RsV2oyY0E2SDRpdGFfLUh2aG9wWnlyY0ZHZE1m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580</Words>
  <Characters>3195</Characters>
  <Application>Microsoft Office Word</Application>
  <DocSecurity>0</DocSecurity>
  <Lines>26</Lines>
  <Paragraphs>7</Paragraphs>
  <ScaleCrop>false</ScaleCrop>
  <Company/>
  <LinksUpToDate>false</LinksUpToDate>
  <CharactersWithSpaces>3768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 Fornés Romero</dc:creator>
  <cp:keywords>, docId:D0F7322CBCB6A2C6C043AC4F819BC0F5</cp:keywords>
  <cp:lastModifiedBy>Gertrudis Fornes Romero</cp:lastModifiedBy>
  <cp:revision>2</cp:revision>
  <dcterms:created xsi:type="dcterms:W3CDTF">2024-06-20T11:37:00Z</dcterms:created>
  <dcterms:modified xsi:type="dcterms:W3CDTF">2024-06-20T11:37:00Z</dcterms:modified>
</cp:coreProperties>
</file>